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CE92EF" w14:textId="77777777" w:rsidR="00347C4D" w:rsidRPr="00CE0EAD" w:rsidRDefault="00347C4D" w:rsidP="00347C4D">
      <w:pPr>
        <w:pStyle w:val="Subtitle"/>
        <w:rPr>
          <w:rStyle w:val="BookTitle"/>
          <w:i w:val="0"/>
        </w:rPr>
      </w:pPr>
      <w:r w:rsidRPr="00CE0EAD">
        <w:rPr>
          <w:rStyle w:val="BookTitle"/>
          <w:i w:val="0"/>
        </w:rPr>
        <w:t>3GPP TSG RAN WG1 Meeting #</w:t>
      </w:r>
      <w:r>
        <w:rPr>
          <w:rStyle w:val="BookTitle"/>
          <w:i w:val="0"/>
        </w:rPr>
        <w:t xml:space="preserve">104bis-e     </w:t>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Pr>
          <w:rStyle w:val="BookTitle"/>
          <w:i w:val="0"/>
        </w:rPr>
        <w:t xml:space="preserve">  </w:t>
      </w:r>
      <w:r w:rsidRPr="00CE0EAD">
        <w:rPr>
          <w:rStyle w:val="BookTitle"/>
          <w:i w:val="0"/>
        </w:rPr>
        <w:t>R1</w:t>
      </w:r>
      <w:r>
        <w:rPr>
          <w:rStyle w:val="BookTitle"/>
          <w:i w:val="0"/>
        </w:rPr>
        <w:t>-</w:t>
      </w:r>
      <w:r w:rsidRPr="002412FB">
        <w:rPr>
          <w:rStyle w:val="BookTitle"/>
          <w:i w:val="0"/>
        </w:rPr>
        <w:t>2103183</w:t>
      </w:r>
    </w:p>
    <w:p w14:paraId="17E79A24" w14:textId="77777777" w:rsidR="00347C4D" w:rsidRPr="00CE0EAD" w:rsidRDefault="00347C4D" w:rsidP="00347C4D">
      <w:pPr>
        <w:pStyle w:val="Subtitle"/>
        <w:rPr>
          <w:rStyle w:val="BookTitle"/>
          <w:i w:val="0"/>
        </w:rPr>
      </w:pPr>
      <w:r>
        <w:rPr>
          <w:rStyle w:val="BookTitle"/>
          <w:i w:val="0"/>
        </w:rPr>
        <w:t>12</w:t>
      </w:r>
      <w:r>
        <w:rPr>
          <w:rStyle w:val="BookTitle"/>
          <w:vertAlign w:val="superscript"/>
        </w:rPr>
        <w:t>th</w:t>
      </w:r>
      <w:r>
        <w:rPr>
          <w:rStyle w:val="BookTitle"/>
        </w:rPr>
        <w:t xml:space="preserve"> </w:t>
      </w:r>
      <w:r>
        <w:rPr>
          <w:rStyle w:val="BookTitle"/>
          <w:i w:val="0"/>
        </w:rPr>
        <w:t xml:space="preserve">April </w:t>
      </w:r>
      <w:r>
        <w:rPr>
          <w:rStyle w:val="BookTitle"/>
        </w:rPr>
        <w:t xml:space="preserve">– </w:t>
      </w:r>
      <w:r>
        <w:rPr>
          <w:rStyle w:val="BookTitle"/>
          <w:i w:val="0"/>
        </w:rPr>
        <w:t>20</w:t>
      </w:r>
      <w:r>
        <w:rPr>
          <w:rStyle w:val="BookTitle"/>
          <w:vertAlign w:val="superscript"/>
        </w:rPr>
        <w:t>th</w:t>
      </w:r>
      <w:r>
        <w:rPr>
          <w:rStyle w:val="BookTitle"/>
        </w:rPr>
        <w:t xml:space="preserve"> </w:t>
      </w:r>
      <w:r>
        <w:rPr>
          <w:rStyle w:val="BookTitle"/>
          <w:i w:val="0"/>
        </w:rPr>
        <w:t>April</w:t>
      </w:r>
      <w:r>
        <w:rPr>
          <w:rStyle w:val="BookTitle"/>
        </w:rPr>
        <w:t xml:space="preserve"> </w:t>
      </w:r>
      <w:r w:rsidRPr="002F0F57">
        <w:rPr>
          <w:rStyle w:val="BookTitle"/>
          <w:i w:val="0"/>
          <w:iCs w:val="0"/>
        </w:rPr>
        <w:t>202</w:t>
      </w:r>
      <w:r>
        <w:rPr>
          <w:rStyle w:val="BookTitle"/>
          <w:i w:val="0"/>
          <w:iCs w:val="0"/>
        </w:rPr>
        <w:t>1</w:t>
      </w:r>
    </w:p>
    <w:p w14:paraId="2B111D36" w14:textId="77777777" w:rsidR="00347C4D" w:rsidRPr="002B4616" w:rsidRDefault="00347C4D" w:rsidP="00347C4D">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Pr>
          <w:rStyle w:val="SubtitleChar"/>
        </w:rPr>
        <w:t>8.10.1</w:t>
      </w:r>
    </w:p>
    <w:p w14:paraId="4A9A7B0E" w14:textId="77777777" w:rsidR="00347C4D" w:rsidRPr="00131C46" w:rsidRDefault="00347C4D" w:rsidP="00347C4D">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14:paraId="236FAB25" w14:textId="77777777" w:rsidR="00347C4D" w:rsidRPr="002B4616" w:rsidRDefault="00347C4D" w:rsidP="00347C4D">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Pr>
          <w:rStyle w:val="IntenseReference"/>
        </w:rPr>
        <w:tab/>
      </w:r>
      <w:r>
        <w:rPr>
          <w:rStyle w:val="SubtitleChar"/>
        </w:rPr>
        <w:t>Resource management for enhanced duplexing</w:t>
      </w:r>
    </w:p>
    <w:p w14:paraId="0E0562DE" w14:textId="77777777" w:rsidR="00347C4D" w:rsidRPr="002B4616" w:rsidRDefault="00347C4D" w:rsidP="00347C4D">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Pr>
          <w:rStyle w:val="IntenseReference"/>
        </w:rPr>
        <w:tab/>
      </w:r>
      <w:r w:rsidRPr="002B4616">
        <w:rPr>
          <w:rStyle w:val="SubtitleChar"/>
        </w:rPr>
        <w:t>Discussion and decision</w:t>
      </w:r>
    </w:p>
    <w:p w14:paraId="7FAE8981" w14:textId="77777777" w:rsidR="00347C4D" w:rsidRDefault="00347C4D" w:rsidP="00347C4D">
      <w:pPr>
        <w:pStyle w:val="Heading2"/>
      </w:pPr>
      <w:r>
        <w:t xml:space="preserve">1. </w:t>
      </w:r>
      <w:r w:rsidRPr="0044654D">
        <w:t>Introduction</w:t>
      </w:r>
    </w:p>
    <w:p w14:paraId="65DE162B" w14:textId="77777777" w:rsidR="00347C4D" w:rsidRDefault="00347C4D" w:rsidP="00347C4D">
      <w:r>
        <w:t xml:space="preserve">This contribution provides our view on the IAB resource management framework in the context of the Rel-17 IAB WID [1] objectives. We first discuss the extension of Rel-16 resource management framework for supporting simultaneous operation with FDM, then we discuss multi-parent support for IAB in Rel-17 via NR-DC.     </w:t>
      </w:r>
    </w:p>
    <w:p w14:paraId="140556A7" w14:textId="77777777" w:rsidR="00347C4D" w:rsidRDefault="00347C4D" w:rsidP="00347C4D">
      <w:pPr>
        <w:pStyle w:val="Heading2"/>
      </w:pPr>
      <w:bookmarkStart w:id="0" w:name="_Hlk32401284"/>
      <w:bookmarkStart w:id="1" w:name="_Hlk24102609"/>
      <w:r>
        <w:t xml:space="preserve">2. </w:t>
      </w:r>
      <w:r w:rsidRPr="00431F86">
        <w:t xml:space="preserve">Extension of </w:t>
      </w:r>
      <w:r>
        <w:t>r</w:t>
      </w:r>
      <w:r w:rsidRPr="00431F86">
        <w:t xml:space="preserve">esource </w:t>
      </w:r>
      <w:r>
        <w:t>m</w:t>
      </w:r>
      <w:r w:rsidRPr="00431F86">
        <w:t xml:space="preserve">anagement to </w:t>
      </w:r>
      <w:r>
        <w:t>f</w:t>
      </w:r>
      <w:r w:rsidRPr="00431F86">
        <w:t xml:space="preserve">requency </w:t>
      </w:r>
      <w:r>
        <w:t>d</w:t>
      </w:r>
      <w:r w:rsidRPr="00431F86">
        <w:t>omain</w:t>
      </w:r>
    </w:p>
    <w:bookmarkEnd w:id="0"/>
    <w:bookmarkEnd w:id="1"/>
    <w:p w14:paraId="2BD9EEC7" w14:textId="77777777" w:rsidR="00347C4D" w:rsidRDefault="00347C4D" w:rsidP="00347C4D">
      <w:pPr>
        <w:jc w:val="both"/>
      </w:pPr>
      <w:r>
        <w:t xml:space="preserve">The following agreements have been made in RAN1-104e [2] regarding further discussion on extending Rel-16 resource management framework to frequency domain. </w:t>
      </w:r>
    </w:p>
    <w:tbl>
      <w:tblPr>
        <w:tblStyle w:val="TableGrid"/>
        <w:tblW w:w="0" w:type="auto"/>
        <w:tblLook w:val="04A0" w:firstRow="1" w:lastRow="0" w:firstColumn="1" w:lastColumn="0" w:noHBand="0" w:noVBand="1"/>
      </w:tblPr>
      <w:tblGrid>
        <w:gridCol w:w="9629"/>
      </w:tblGrid>
      <w:tr w:rsidR="00347C4D" w14:paraId="3F8ABFBF" w14:textId="77777777" w:rsidTr="003A2C92">
        <w:tc>
          <w:tcPr>
            <w:tcW w:w="9629" w:type="dxa"/>
          </w:tcPr>
          <w:p w14:paraId="62AA2547" w14:textId="77777777" w:rsidR="00347C4D" w:rsidRDefault="00347C4D" w:rsidP="003A2C92">
            <w:pPr>
              <w:jc w:val="both"/>
              <w:rPr>
                <w:lang w:eastAsia="x-none"/>
              </w:rPr>
            </w:pPr>
            <w:r w:rsidRPr="006A78E4">
              <w:rPr>
                <w:highlight w:val="green"/>
                <w:lang w:eastAsia="x-none"/>
              </w:rPr>
              <w:t>Agreements</w:t>
            </w:r>
            <w:r w:rsidRPr="006A78E4">
              <w:rPr>
                <w:lang w:eastAsia="x-none"/>
              </w:rPr>
              <w:t>:</w:t>
            </w:r>
          </w:p>
          <w:p w14:paraId="3464FE98" w14:textId="77777777" w:rsidR="00347C4D" w:rsidRPr="003D4D9F" w:rsidRDefault="00347C4D" w:rsidP="003A2C92">
            <w:pPr>
              <w:spacing w:after="0"/>
              <w:jc w:val="both"/>
              <w:rPr>
                <w:lang w:val="en-US" w:eastAsia="x-none"/>
              </w:rPr>
            </w:pPr>
            <w:r w:rsidRPr="003D4D9F">
              <w:rPr>
                <w:lang w:eastAsia="x-none"/>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2187D2FB" w14:textId="77777777" w:rsidR="00347C4D" w:rsidRPr="003D4D9F" w:rsidRDefault="00347C4D" w:rsidP="003A2C92">
            <w:pPr>
              <w:numPr>
                <w:ilvl w:val="0"/>
                <w:numId w:val="31"/>
              </w:numPr>
              <w:spacing w:after="0"/>
              <w:jc w:val="both"/>
              <w:rPr>
                <w:lang w:val="en-US" w:eastAsia="x-none"/>
              </w:rPr>
            </w:pPr>
            <w:r w:rsidRPr="003D4D9F">
              <w:rPr>
                <w:lang w:eastAsia="x-none"/>
              </w:rPr>
              <w:t>Granularity for frequency domain resources within a carrier (starting point is a set of N RBs with FFS: value of N &gt;=1)</w:t>
            </w:r>
          </w:p>
          <w:p w14:paraId="72B59EC7" w14:textId="77777777" w:rsidR="00347C4D" w:rsidRPr="003D4D9F" w:rsidRDefault="00347C4D" w:rsidP="003A2C92">
            <w:pPr>
              <w:numPr>
                <w:ilvl w:val="0"/>
                <w:numId w:val="31"/>
              </w:numPr>
              <w:spacing w:after="0"/>
              <w:jc w:val="both"/>
              <w:rPr>
                <w:lang w:val="en-US" w:eastAsia="x-none"/>
              </w:rPr>
            </w:pPr>
            <w:r w:rsidRPr="003D4D9F">
              <w:rPr>
                <w:lang w:eastAsia="x-none"/>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3C992FF4" w14:textId="77777777" w:rsidR="00347C4D" w:rsidRPr="00744378" w:rsidRDefault="00347C4D" w:rsidP="003A2C92">
            <w:pPr>
              <w:numPr>
                <w:ilvl w:val="0"/>
                <w:numId w:val="31"/>
              </w:numPr>
              <w:spacing w:after="0"/>
              <w:jc w:val="both"/>
              <w:rPr>
                <w:lang w:val="en-US" w:eastAsia="x-none"/>
              </w:rPr>
            </w:pPr>
            <w:r w:rsidRPr="003D4D9F">
              <w:rPr>
                <w:lang w:eastAsia="x-none"/>
              </w:rPr>
              <w:t xml:space="preserve">In case </w:t>
            </w:r>
            <w:r w:rsidRPr="00324B5E">
              <w:rPr>
                <w:lang w:eastAsia="x-none"/>
              </w:rPr>
              <w:t>frequency-domain extension is supported for soft resources, enhancements for DCI format 2_5 to support dynamic indication of availability for soft frequency resources</w:t>
            </w:r>
            <w:r w:rsidRPr="003D4D9F">
              <w:rPr>
                <w:lang w:eastAsia="x-none"/>
              </w:rPr>
              <w:t xml:space="preserve">. </w:t>
            </w:r>
          </w:p>
          <w:p w14:paraId="5BD180A0" w14:textId="77777777" w:rsidR="00347C4D" w:rsidRPr="003D4D9F" w:rsidRDefault="00347C4D" w:rsidP="003A2C92">
            <w:pPr>
              <w:numPr>
                <w:ilvl w:val="1"/>
                <w:numId w:val="31"/>
              </w:numPr>
              <w:spacing w:after="0"/>
              <w:jc w:val="both"/>
              <w:rPr>
                <w:lang w:val="en-US" w:eastAsia="x-none"/>
              </w:rPr>
            </w:pPr>
            <w:r w:rsidRPr="003D4D9F">
              <w:rPr>
                <w:lang w:eastAsia="x-none"/>
              </w:rPr>
              <w:t xml:space="preserve">Alt. 1 Separate indication of time and frequency resources </w:t>
            </w:r>
          </w:p>
          <w:p w14:paraId="0F4063ED" w14:textId="77777777" w:rsidR="00347C4D" w:rsidRPr="003D4D9F" w:rsidRDefault="00347C4D" w:rsidP="003A2C92">
            <w:pPr>
              <w:numPr>
                <w:ilvl w:val="2"/>
                <w:numId w:val="31"/>
              </w:numPr>
              <w:spacing w:after="0"/>
              <w:jc w:val="both"/>
              <w:rPr>
                <w:lang w:val="en-US" w:eastAsia="x-none"/>
              </w:rPr>
            </w:pPr>
            <w:r w:rsidRPr="003D4D9F">
              <w:rPr>
                <w:lang w:eastAsia="x-none"/>
              </w:rPr>
              <w:t>FFS: different field, RNTI or different DCI</w:t>
            </w:r>
          </w:p>
          <w:p w14:paraId="344640DB" w14:textId="77777777" w:rsidR="00347C4D" w:rsidRPr="003D4D9F" w:rsidRDefault="00347C4D" w:rsidP="003A2C92">
            <w:pPr>
              <w:numPr>
                <w:ilvl w:val="1"/>
                <w:numId w:val="31"/>
              </w:numPr>
              <w:spacing w:after="0"/>
              <w:jc w:val="both"/>
              <w:rPr>
                <w:lang w:val="en-US" w:eastAsia="x-none"/>
              </w:rPr>
            </w:pPr>
            <w:r w:rsidRPr="003D4D9F">
              <w:rPr>
                <w:lang w:eastAsia="x-none"/>
              </w:rPr>
              <w:t xml:space="preserve">Alt. 2 Joint indication of time and frequency resources </w:t>
            </w:r>
          </w:p>
          <w:p w14:paraId="0632EF86" w14:textId="77777777" w:rsidR="00347C4D" w:rsidRPr="003D4D9F" w:rsidRDefault="00347C4D" w:rsidP="003A2C92">
            <w:pPr>
              <w:numPr>
                <w:ilvl w:val="2"/>
                <w:numId w:val="31"/>
              </w:numPr>
              <w:spacing w:after="0"/>
              <w:jc w:val="both"/>
              <w:rPr>
                <w:lang w:val="en-US" w:eastAsia="x-none"/>
              </w:rPr>
            </w:pPr>
            <w:r w:rsidRPr="003D4D9F">
              <w:rPr>
                <w:lang w:eastAsia="x-none"/>
              </w:rPr>
              <w:t>FFS: backwards compatibility with Rel-16</w:t>
            </w:r>
          </w:p>
          <w:p w14:paraId="6B1B929C" w14:textId="77777777" w:rsidR="00347C4D" w:rsidRPr="002032E6" w:rsidRDefault="00347C4D" w:rsidP="003A2C92">
            <w:pPr>
              <w:numPr>
                <w:ilvl w:val="0"/>
                <w:numId w:val="31"/>
              </w:numPr>
              <w:spacing w:after="0"/>
              <w:jc w:val="both"/>
              <w:rPr>
                <w:lang w:val="en-US" w:eastAsia="x-none"/>
              </w:rPr>
            </w:pPr>
            <w:r w:rsidRPr="003D4D9F">
              <w:rPr>
                <w:lang w:eastAsia="x-none"/>
              </w:rPr>
              <w:t>FFS: Extension of FDM across carriers</w:t>
            </w:r>
          </w:p>
          <w:p w14:paraId="1BD46DF3" w14:textId="77777777" w:rsidR="00347C4D" w:rsidRPr="002032E6" w:rsidRDefault="00347C4D" w:rsidP="003A2C92">
            <w:pPr>
              <w:numPr>
                <w:ilvl w:val="0"/>
                <w:numId w:val="31"/>
              </w:numPr>
              <w:spacing w:after="0"/>
              <w:jc w:val="both"/>
              <w:rPr>
                <w:lang w:val="en-US" w:eastAsia="x-none"/>
              </w:rPr>
            </w:pPr>
            <w:r w:rsidRPr="003D4D9F">
              <w:rPr>
                <w:lang w:eastAsia="x-none"/>
              </w:rPr>
              <w:t>FFS: Restrictions on band/minimum bandwidth for FDM operation (e.g. FR2 100MHz+ etc.)</w:t>
            </w:r>
          </w:p>
        </w:tc>
      </w:tr>
    </w:tbl>
    <w:p w14:paraId="48EACC44" w14:textId="77777777" w:rsidR="00347C4D" w:rsidRDefault="00347C4D" w:rsidP="00347C4D">
      <w:pPr>
        <w:spacing w:after="120"/>
      </w:pPr>
    </w:p>
    <w:p w14:paraId="72AB2A49" w14:textId="77777777" w:rsidR="00347C4D" w:rsidRDefault="00347C4D" w:rsidP="00347C4D">
      <w:pPr>
        <w:pStyle w:val="Heading3"/>
      </w:pPr>
      <w:r>
        <w:t>2.1 Extension of semi-static DU resource type to frequency domain</w:t>
      </w:r>
    </w:p>
    <w:p w14:paraId="2B822DB4" w14:textId="77777777" w:rsidR="00347C4D" w:rsidRDefault="00347C4D" w:rsidP="00347C4D">
      <w:pPr>
        <w:spacing w:after="120"/>
      </w:pPr>
      <w:r>
        <w:t xml:space="preserve">In the following we will show that it is beneficial to support a slot-specific FDM scheme within a carrier in addition to the existing Rel-16 per-carrier granularity, and that this FDM scheme with varying bandwidth in different slots cannot be achieved using the Rel15 UE-specific bandwidth part framework. </w:t>
      </w:r>
    </w:p>
    <w:p w14:paraId="3C201D8B" w14:textId="77777777" w:rsidR="00347C4D" w:rsidRPr="00565130" w:rsidRDefault="00347C4D" w:rsidP="00347C4D">
      <w:pPr>
        <w:spacing w:after="120"/>
        <w:rPr>
          <w:b/>
          <w:bCs/>
        </w:rPr>
      </w:pPr>
      <w:r>
        <w:t xml:space="preserve">As shown in Fig.1, an IAB-node with multiple child nodes may only be able to serve one child node at a time in TDM manner, e.g. due to analog beam constraint in FR2 band, while the traffic for different child nodes can be aggregated in the backhaul link with the parent node. In addition, typically the capability for a parent backhaul link can be much larger than a child access link, e.g. due to much larger number of antenna elements at the IAB-node than a child UE and/or better LOS channel condition for a backhaul link with higher elevation. In this case, since the IAB-node DU requires much more available time resources than the parent node, in a TDM scheme, a resource pattern with consecutive “NA” resources has to be assigned to the parent node, which may lead to unacceptable latency for an URLLC traffic as shown in Fig.1. In comparison, a FDM scheme can be designed so that: at the original “NA” slots of the TDM scheme, some minimum available bandwidth is allocated to allow for light-load traffic, e.g. URLLC traffic and/or control signaling, to go through; and at the original “Hard” slots of the TDM scheme, slightly reduced available bandwidth is allocated to leave minimum available resources for its parent or child IAB-nodes while still achieving a </w:t>
      </w:r>
      <w:r>
        <w:lastRenderedPageBreak/>
        <w:t>similar throughput as the TDM scheme. Since only some minimum available bandwidth is needed at a subset of slots, this FDM scheme can be done within a carrier, which can be more resource efficient than a FDM scheme cross different carriers, especially for FR2 with large channel bandwidth. E.g. in FR2, a component carrier (CC) can be as large as 400MHz, which corresponds to 264 PRBs with SCS=120KHz. One may allocate a resource pattern with FDMed NA(48RBs)+Hard(216RBs) resources at 1</w:t>
      </w:r>
      <w:r w:rsidRPr="00AD5F98">
        <w:rPr>
          <w:vertAlign w:val="superscript"/>
        </w:rPr>
        <w:t>st</w:t>
      </w:r>
      <w:r>
        <w:t xml:space="preserve"> set of slots and FDMed Hard(48RBs)+NA(216RBs) resources at 2</w:t>
      </w:r>
      <w:r w:rsidRPr="00BE31F5">
        <w:rPr>
          <w:vertAlign w:val="superscript"/>
        </w:rPr>
        <w:t>nd</w:t>
      </w:r>
      <w:r>
        <w:t xml:space="preserve"> set of slots.</w:t>
      </w:r>
      <w:r>
        <w:rPr>
          <w:b/>
          <w:bCs/>
        </w:rPr>
        <w:t xml:space="preserve">   </w:t>
      </w:r>
    </w:p>
    <w:p w14:paraId="371A3E74" w14:textId="77777777" w:rsidR="00347C4D" w:rsidRDefault="00347C4D" w:rsidP="00347C4D">
      <w:pPr>
        <w:spacing w:after="120"/>
      </w:pPr>
      <w:r>
        <w:rPr>
          <w:noProof/>
        </w:rPr>
        <w:drawing>
          <wp:inline distT="0" distB="0" distL="0" distR="0" wp14:anchorId="335C2A3B" wp14:editId="71CCF944">
            <wp:extent cx="5828030" cy="25787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8030" cy="2578735"/>
                    </a:xfrm>
                    <a:prstGeom prst="rect">
                      <a:avLst/>
                    </a:prstGeom>
                    <a:noFill/>
                  </pic:spPr>
                </pic:pic>
              </a:graphicData>
            </a:graphic>
          </wp:inline>
        </w:drawing>
      </w:r>
    </w:p>
    <w:p w14:paraId="04DAC3A2" w14:textId="77777777" w:rsidR="00347C4D" w:rsidRPr="000F1A8F" w:rsidRDefault="00347C4D" w:rsidP="00347C4D">
      <w:pPr>
        <w:spacing w:after="120"/>
        <w:jc w:val="center"/>
        <w:rPr>
          <w:b/>
          <w:bCs/>
        </w:rPr>
      </w:pPr>
      <w:r w:rsidRPr="00565130">
        <w:rPr>
          <w:b/>
          <w:bCs/>
        </w:rPr>
        <w:t xml:space="preserve">Fig.1 </w:t>
      </w:r>
      <w:r>
        <w:rPr>
          <w:b/>
          <w:bCs/>
        </w:rPr>
        <w:t xml:space="preserve">An example comparing TDM with slot-specific FDM scheme   </w:t>
      </w:r>
    </w:p>
    <w:p w14:paraId="578FC902" w14:textId="77777777" w:rsidR="00347C4D" w:rsidRDefault="00347C4D" w:rsidP="00347C4D">
      <w:pPr>
        <w:spacing w:after="120"/>
      </w:pPr>
      <w:r>
        <w:t xml:space="preserve">  </w:t>
      </w:r>
    </w:p>
    <w:p w14:paraId="421F438B" w14:textId="77777777" w:rsidR="00347C4D" w:rsidRDefault="00347C4D" w:rsidP="00347C4D">
      <w:pPr>
        <w:spacing w:after="120"/>
      </w:pPr>
      <w:r>
        <w:t>Note that this FDM scheme is slot-specific, i.e., the available bandwidth may vary at different slots, which cannot be achieved by Rel15 UE-specific BWP framework. In addition, c</w:t>
      </w:r>
      <w:r w:rsidRPr="006F2265">
        <w:t>omparing with UE-specific BWP framework, providing a cell-specific bandwidth partition to an IAB-DU allows for easier resource coordination between parent and child IAB-nodes</w:t>
      </w:r>
      <w:r>
        <w:t>, e.g. using a cell-specific bandwidth partition instead of using BWP configurations of all child nodes for information exchange and coordination can reduce signaling overhead significantly.</w:t>
      </w:r>
    </w:p>
    <w:p w14:paraId="446F01F7" w14:textId="77777777" w:rsidR="00347C4D" w:rsidRDefault="00347C4D" w:rsidP="00347C4D">
      <w:pPr>
        <w:rPr>
          <w:b/>
          <w:bCs/>
          <w:u w:val="single"/>
          <w:lang w:eastAsia="zh-CN"/>
        </w:rPr>
      </w:pPr>
      <w:r w:rsidRPr="00D24022">
        <w:rPr>
          <w:b/>
          <w:bCs/>
          <w:u w:val="single"/>
          <w:lang w:eastAsia="zh-CN"/>
        </w:rPr>
        <w:t>Observation</w:t>
      </w:r>
      <w:r>
        <w:rPr>
          <w:b/>
          <w:bCs/>
          <w:u w:val="single"/>
          <w:lang w:eastAsia="zh-CN"/>
        </w:rPr>
        <w:t xml:space="preserve"> 2.</w:t>
      </w:r>
      <w:r w:rsidRPr="00D24022">
        <w:rPr>
          <w:b/>
          <w:bCs/>
          <w:u w:val="single"/>
          <w:lang w:eastAsia="zh-CN"/>
        </w:rPr>
        <w:t>1:</w:t>
      </w:r>
    </w:p>
    <w:p w14:paraId="71AB2BBB" w14:textId="77777777" w:rsidR="00347C4D" w:rsidRDefault="00347C4D" w:rsidP="00347C4D">
      <w:pPr>
        <w:spacing w:after="0"/>
        <w:rPr>
          <w:b/>
          <w:bCs/>
          <w:lang w:val="en-US"/>
        </w:rPr>
      </w:pPr>
      <w:r w:rsidRPr="008F06F9">
        <w:rPr>
          <w:b/>
          <w:bCs/>
          <w:lang w:val="en-US"/>
        </w:rPr>
        <w:t>Slot-</w:t>
      </w:r>
      <w:r>
        <w:rPr>
          <w:b/>
          <w:bCs/>
          <w:lang w:val="en-US"/>
        </w:rPr>
        <w:t>s</w:t>
      </w:r>
      <w:r w:rsidRPr="008F06F9">
        <w:rPr>
          <w:b/>
          <w:bCs/>
          <w:lang w:val="en-US"/>
        </w:rPr>
        <w:t xml:space="preserve">pecific FDM </w:t>
      </w:r>
      <w:r>
        <w:rPr>
          <w:b/>
          <w:bCs/>
          <w:lang w:val="en-US"/>
        </w:rPr>
        <w:t>within a CC</w:t>
      </w:r>
      <w:r w:rsidRPr="008F06F9">
        <w:rPr>
          <w:b/>
          <w:bCs/>
          <w:lang w:val="en-US"/>
        </w:rPr>
        <w:t xml:space="preserve"> provides latency benefit and scheduling flexibility (e.g. more opportunities for DL/UL control signaling) over TDM within </w:t>
      </w:r>
      <w:r>
        <w:rPr>
          <w:b/>
          <w:bCs/>
          <w:lang w:val="en-US"/>
        </w:rPr>
        <w:t xml:space="preserve">a </w:t>
      </w:r>
      <w:r w:rsidRPr="008F06F9">
        <w:rPr>
          <w:b/>
          <w:bCs/>
          <w:lang w:val="en-US"/>
        </w:rPr>
        <w:t xml:space="preserve">CC (as shown in Fig.1), and at the same time achieves better resource efficiency over FDM </w:t>
      </w:r>
      <w:r>
        <w:rPr>
          <w:b/>
          <w:bCs/>
          <w:lang w:val="en-US"/>
        </w:rPr>
        <w:t>a</w:t>
      </w:r>
      <w:r w:rsidRPr="008F06F9">
        <w:rPr>
          <w:b/>
          <w:bCs/>
          <w:lang w:val="en-US"/>
        </w:rPr>
        <w:t>cross CC</w:t>
      </w:r>
      <w:r>
        <w:rPr>
          <w:b/>
          <w:bCs/>
          <w:lang w:val="en-US"/>
        </w:rPr>
        <w:t>s</w:t>
      </w:r>
      <w:r w:rsidRPr="008F06F9">
        <w:rPr>
          <w:b/>
          <w:bCs/>
          <w:lang w:val="en-US"/>
        </w:rPr>
        <w:t>, especially for FR2 with large channel BW</w:t>
      </w:r>
      <w:r>
        <w:rPr>
          <w:b/>
          <w:bCs/>
          <w:lang w:val="en-US"/>
        </w:rPr>
        <w:t>.</w:t>
      </w:r>
    </w:p>
    <w:p w14:paraId="4EB99E51" w14:textId="77777777" w:rsidR="00347C4D" w:rsidRDefault="00347C4D" w:rsidP="00347C4D">
      <w:pPr>
        <w:pStyle w:val="ListParagraph"/>
        <w:numPr>
          <w:ilvl w:val="0"/>
          <w:numId w:val="32"/>
        </w:numPr>
        <w:spacing w:after="0"/>
        <w:rPr>
          <w:b/>
          <w:bCs/>
          <w:lang w:val="en-US"/>
        </w:rPr>
      </w:pPr>
      <w:r w:rsidRPr="001850EE">
        <w:rPr>
          <w:b/>
          <w:bCs/>
          <w:lang w:val="en-US"/>
        </w:rPr>
        <w:t xml:space="preserve">Slot-specific FDM cannot be achieved by Rel15 </w:t>
      </w:r>
      <w:r>
        <w:rPr>
          <w:b/>
          <w:bCs/>
          <w:lang w:val="en-US"/>
        </w:rPr>
        <w:t xml:space="preserve">UE-specific </w:t>
      </w:r>
      <w:r w:rsidRPr="001850EE">
        <w:rPr>
          <w:b/>
          <w:bCs/>
          <w:lang w:val="en-US"/>
        </w:rPr>
        <w:t>BWP framework.</w:t>
      </w:r>
    </w:p>
    <w:p w14:paraId="41FB6D28" w14:textId="77777777" w:rsidR="00347C4D" w:rsidRDefault="00347C4D" w:rsidP="00347C4D">
      <w:pPr>
        <w:pStyle w:val="ListParagraph"/>
        <w:numPr>
          <w:ilvl w:val="0"/>
          <w:numId w:val="32"/>
        </w:numPr>
        <w:spacing w:after="0"/>
        <w:rPr>
          <w:b/>
          <w:bCs/>
          <w:lang w:val="en-US"/>
        </w:rPr>
      </w:pPr>
      <w:r>
        <w:rPr>
          <w:b/>
          <w:bCs/>
          <w:lang w:val="en-US"/>
        </w:rPr>
        <w:t>Comparing with a signaling approach providing a cell-specific bandwidth partition for FDM, Rel15 UE-specific BWP framework can have larger signaling overhead.</w:t>
      </w:r>
    </w:p>
    <w:p w14:paraId="6597684D" w14:textId="77777777" w:rsidR="00347C4D" w:rsidRPr="008A0829" w:rsidRDefault="00347C4D" w:rsidP="00347C4D">
      <w:pPr>
        <w:spacing w:after="0"/>
        <w:rPr>
          <w:b/>
          <w:bCs/>
          <w:lang w:val="en-US"/>
        </w:rPr>
      </w:pPr>
    </w:p>
    <w:p w14:paraId="7C894AD4" w14:textId="77777777" w:rsidR="00347C4D" w:rsidRDefault="00347C4D" w:rsidP="00347C4D">
      <w:pPr>
        <w:spacing w:after="120"/>
      </w:pPr>
      <w:r>
        <w:t>We noticed that in RAN1-104e some concerns were raised on potential impact of a slot-specific FDM scheme to semi-statically allocated control signaling. If the concern is on varying available bandwidth at a slot-specific FDM scheme, the same concern applies for the TDM scheme with full available bandwidth at Hard slots and zero available bandwidth at “NA” slots. A slot-specific FDM scheme with reasonable pattern in fact provides more opportunities for control signaling, e.g. by replacing the original “NA” resources in the TDM scheme with FDMed “Hard/NA” resources. For TRS or SRS which require a large bandwidth, as long as they can be allocated with a periodicity that aligns with the slots with the largest available bandwidth in the FDM scheme, the system can operate as expected. For PDCCH CoreSet, a UE can be allocated with multiple CoreSets per BWP per CC, e.g. one PDCCH CoreSet with large bandwidth associated with a search space at a 1</w:t>
      </w:r>
      <w:r w:rsidRPr="00414DD9">
        <w:rPr>
          <w:vertAlign w:val="superscript"/>
        </w:rPr>
        <w:t>st</w:t>
      </w:r>
      <w:r>
        <w:t xml:space="preserve"> set of slots and another PDCCH CoreSet with small bandwidth associated with a search space at a 2</w:t>
      </w:r>
      <w:r w:rsidRPr="00414DD9">
        <w:rPr>
          <w:vertAlign w:val="superscript"/>
        </w:rPr>
        <w:t>nd</w:t>
      </w:r>
      <w:r>
        <w:t xml:space="preserve"> set of slots. Therefore, we do not see any real drawback preventing support of a slot-specific FDM scheme within a CC.     </w:t>
      </w:r>
    </w:p>
    <w:p w14:paraId="3A08A6B2" w14:textId="77777777" w:rsidR="00347C4D" w:rsidRDefault="00347C4D" w:rsidP="00347C4D">
      <w:pPr>
        <w:rPr>
          <w:b/>
          <w:bCs/>
          <w:u w:val="single"/>
          <w:lang w:eastAsia="zh-CN"/>
        </w:rPr>
      </w:pPr>
      <w:r w:rsidRPr="00D24022">
        <w:rPr>
          <w:b/>
          <w:bCs/>
          <w:u w:val="single"/>
          <w:lang w:eastAsia="zh-CN"/>
        </w:rPr>
        <w:t>Observation</w:t>
      </w:r>
      <w:r>
        <w:rPr>
          <w:b/>
          <w:bCs/>
          <w:u w:val="single"/>
          <w:lang w:eastAsia="zh-CN"/>
        </w:rPr>
        <w:t xml:space="preserve"> 2.2</w:t>
      </w:r>
      <w:r w:rsidRPr="00D24022">
        <w:rPr>
          <w:b/>
          <w:bCs/>
          <w:u w:val="single"/>
          <w:lang w:eastAsia="zh-CN"/>
        </w:rPr>
        <w:t>:</w:t>
      </w:r>
    </w:p>
    <w:p w14:paraId="78EFC1EB" w14:textId="77777777" w:rsidR="00347C4D" w:rsidRDefault="00347C4D" w:rsidP="00347C4D">
      <w:pPr>
        <w:rPr>
          <w:b/>
          <w:bCs/>
          <w:lang w:val="en-US"/>
        </w:rPr>
      </w:pPr>
      <w:r w:rsidRPr="002B5448">
        <w:rPr>
          <w:b/>
          <w:bCs/>
        </w:rPr>
        <w:t xml:space="preserve">Any concerns on control </w:t>
      </w:r>
      <w:r>
        <w:rPr>
          <w:b/>
          <w:bCs/>
        </w:rPr>
        <w:t>signaling</w:t>
      </w:r>
      <w:r w:rsidRPr="002B5448">
        <w:rPr>
          <w:b/>
          <w:bCs/>
        </w:rPr>
        <w:t xml:space="preserve"> for a slot-specific FDM scheme within a CC equ</w:t>
      </w:r>
      <w:r>
        <w:rPr>
          <w:b/>
          <w:bCs/>
        </w:rPr>
        <w:t>ally</w:t>
      </w:r>
      <w:r w:rsidRPr="002B5448">
        <w:rPr>
          <w:b/>
          <w:bCs/>
        </w:rPr>
        <w:t xml:space="preserve"> apply for a TDM scheme with control </w:t>
      </w:r>
      <w:r>
        <w:rPr>
          <w:b/>
          <w:bCs/>
        </w:rPr>
        <w:t>signaling</w:t>
      </w:r>
      <w:r w:rsidRPr="002B5448">
        <w:rPr>
          <w:b/>
          <w:bCs/>
        </w:rPr>
        <w:t xml:space="preserve"> falling into “NA” resources</w:t>
      </w:r>
      <w:r>
        <w:rPr>
          <w:b/>
          <w:bCs/>
          <w:lang w:val="en-US"/>
        </w:rPr>
        <w:t>. Similar solutions adopted for the TDM case can be applied for the FDM case.</w:t>
      </w:r>
    </w:p>
    <w:p w14:paraId="20EF4A9C" w14:textId="77777777" w:rsidR="00347C4D" w:rsidRPr="00252D9F" w:rsidRDefault="00347C4D" w:rsidP="00347C4D">
      <w:pPr>
        <w:rPr>
          <w:lang w:val="en-US"/>
        </w:rPr>
      </w:pPr>
      <w:r w:rsidRPr="00754E35">
        <w:rPr>
          <w:lang w:val="en-US"/>
        </w:rPr>
        <w:t>Bas</w:t>
      </w:r>
      <w:r>
        <w:rPr>
          <w:lang w:val="en-US"/>
        </w:rPr>
        <w:t>ed on the above observations, we propose to support a slot-specific FDM scheme within a carrier with a granularity of an RB set, wherein an RB set can be a number of consecutive PRBs within a carrier. An example illustration of semi-</w:t>
      </w:r>
      <w:r>
        <w:rPr>
          <w:lang w:val="en-US"/>
        </w:rPr>
        <w:lastRenderedPageBreak/>
        <w:t xml:space="preserve">static configuration of DU resource type Hard/Soft/NA per RB set is shown at Fig.2. In Rel-16, the Hard/Soft/NA resource pattern is configured for a DU cell via </w:t>
      </w:r>
      <w:r w:rsidRPr="00252D9F">
        <w:rPr>
          <w:i/>
          <w:iCs/>
          <w:lang w:val="en-US"/>
        </w:rPr>
        <w:t>gNB-DU cell resource configuration IE</w:t>
      </w:r>
      <w:r>
        <w:rPr>
          <w:lang w:val="en-US"/>
        </w:rPr>
        <w:t xml:space="preserve"> defined in TS38.473[3], where at most 1 configuration item for Hard/Soft/NA pattern is included in a configuration list. It can be seen that this IE can be easily extended to support FDM within a CC by extending the configuration list to multiple configuration items, with each item associated with one RB set as shown in Fig.2. To provide sufficient flexibility, we propose to support configuration of each RB set with a starting location and number of consecutive PRBs, so that each RB set may or may not have the same size. Further discussions can be made to determine any constraints imposed on the configuration of RB sets, e.g. max number of RB sets, and the minimum size of an RB set.   </w:t>
      </w:r>
    </w:p>
    <w:p w14:paraId="170E0E6D" w14:textId="77777777" w:rsidR="00347C4D" w:rsidRDefault="00347C4D" w:rsidP="00347C4D">
      <w:pPr>
        <w:jc w:val="center"/>
      </w:pPr>
      <w:r>
        <w:rPr>
          <w:noProof/>
        </w:rPr>
        <w:drawing>
          <wp:inline distT="0" distB="0" distL="0" distR="0" wp14:anchorId="5F838BC1" wp14:editId="5495543D">
            <wp:extent cx="5984240" cy="1936662"/>
            <wp:effectExtent l="0" t="0" r="0" b="698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4214" cy="1939890"/>
                    </a:xfrm>
                    <a:prstGeom prst="rect">
                      <a:avLst/>
                    </a:prstGeom>
                    <a:noFill/>
                  </pic:spPr>
                </pic:pic>
              </a:graphicData>
            </a:graphic>
          </wp:inline>
        </w:drawing>
      </w:r>
    </w:p>
    <w:p w14:paraId="114C3794" w14:textId="77777777" w:rsidR="00347C4D" w:rsidRPr="00BE6F14" w:rsidRDefault="00347C4D" w:rsidP="00347C4D">
      <w:pPr>
        <w:jc w:val="center"/>
        <w:rPr>
          <w:b/>
          <w:bCs/>
        </w:rPr>
      </w:pPr>
      <w:r w:rsidRPr="00BE6F14">
        <w:rPr>
          <w:b/>
          <w:bCs/>
        </w:rPr>
        <w:t>Fig.2</w:t>
      </w:r>
      <w:r>
        <w:rPr>
          <w:b/>
          <w:bCs/>
        </w:rPr>
        <w:t xml:space="preserve"> Illustration of semi-static configuration of DU resource type per RB set  </w:t>
      </w:r>
    </w:p>
    <w:p w14:paraId="33FCE349" w14:textId="77777777" w:rsidR="00347C4D" w:rsidRDefault="00347C4D" w:rsidP="00347C4D">
      <w:pPr>
        <w:rPr>
          <w:b/>
          <w:bCs/>
          <w:u w:val="single"/>
          <w:lang w:eastAsia="zh-CN"/>
        </w:rPr>
      </w:pPr>
      <w:r w:rsidRPr="00D24022">
        <w:rPr>
          <w:b/>
          <w:bCs/>
          <w:u w:val="single"/>
          <w:lang w:eastAsia="zh-CN"/>
        </w:rPr>
        <w:t>Observation</w:t>
      </w:r>
      <w:r>
        <w:rPr>
          <w:b/>
          <w:bCs/>
          <w:u w:val="single"/>
          <w:lang w:eastAsia="zh-CN"/>
        </w:rPr>
        <w:t xml:space="preserve"> 2.3</w:t>
      </w:r>
      <w:r w:rsidRPr="00D24022">
        <w:rPr>
          <w:b/>
          <w:bCs/>
          <w:u w:val="single"/>
          <w:lang w:eastAsia="zh-CN"/>
        </w:rPr>
        <w:t>:</w:t>
      </w:r>
    </w:p>
    <w:p w14:paraId="07A83C0B" w14:textId="77777777" w:rsidR="00347C4D" w:rsidRDefault="00347C4D" w:rsidP="00347C4D">
      <w:pPr>
        <w:rPr>
          <w:b/>
          <w:bCs/>
        </w:rPr>
      </w:pPr>
      <w:r w:rsidRPr="00921ADF">
        <w:rPr>
          <w:b/>
          <w:bCs/>
        </w:rPr>
        <w:t xml:space="preserve">FDM </w:t>
      </w:r>
      <w:r>
        <w:rPr>
          <w:b/>
          <w:bCs/>
        </w:rPr>
        <w:t>within a CC</w:t>
      </w:r>
      <w:r w:rsidRPr="00921ADF">
        <w:rPr>
          <w:b/>
          <w:bCs/>
        </w:rPr>
        <w:t xml:space="preserve"> can be achieved by extending </w:t>
      </w:r>
      <w:r>
        <w:rPr>
          <w:b/>
          <w:bCs/>
        </w:rPr>
        <w:t>Rel-16</w:t>
      </w:r>
      <w:r w:rsidRPr="00921ADF">
        <w:rPr>
          <w:b/>
          <w:bCs/>
        </w:rPr>
        <w:t xml:space="preserve"> “</w:t>
      </w:r>
      <w:r w:rsidRPr="003D6140">
        <w:rPr>
          <w:b/>
          <w:bCs/>
          <w:i/>
          <w:iCs/>
        </w:rPr>
        <w:t>gNB-DU cell resource configuration</w:t>
      </w:r>
      <w:r w:rsidRPr="00921ADF">
        <w:rPr>
          <w:b/>
          <w:bCs/>
        </w:rPr>
        <w:t>” IE defined in TS38.473 so that HSNA Slot configuration List may contain more than one HSNA slot Configuration items, each associated with one RB Set</w:t>
      </w:r>
      <w:r>
        <w:rPr>
          <w:b/>
          <w:bCs/>
        </w:rPr>
        <w:t>.</w:t>
      </w:r>
    </w:p>
    <w:p w14:paraId="5C142146" w14:textId="77777777" w:rsidR="00347C4D" w:rsidRDefault="00347C4D" w:rsidP="00347C4D">
      <w:pPr>
        <w:rPr>
          <w:b/>
          <w:bCs/>
          <w:u w:val="single"/>
          <w:lang w:eastAsia="zh-CN"/>
        </w:rPr>
      </w:pPr>
      <w:r>
        <w:rPr>
          <w:b/>
          <w:bCs/>
          <w:u w:val="single"/>
          <w:lang w:eastAsia="zh-CN"/>
        </w:rPr>
        <w:t>Proposal 2.1</w:t>
      </w:r>
      <w:r w:rsidRPr="00D24022">
        <w:rPr>
          <w:b/>
          <w:bCs/>
          <w:u w:val="single"/>
          <w:lang w:eastAsia="zh-CN"/>
        </w:rPr>
        <w:t>:</w:t>
      </w:r>
    </w:p>
    <w:p w14:paraId="0B4D6BE0" w14:textId="77777777" w:rsidR="00347C4D" w:rsidRDefault="00347C4D" w:rsidP="00347C4D">
      <w:pPr>
        <w:rPr>
          <w:b/>
          <w:bCs/>
          <w:lang w:val="en-US"/>
        </w:rPr>
      </w:pPr>
      <w:r w:rsidRPr="00D31D8F">
        <w:rPr>
          <w:b/>
          <w:bCs/>
          <w:lang w:val="en-US"/>
        </w:rPr>
        <w:t>Support FDM within</w:t>
      </w:r>
      <w:r>
        <w:rPr>
          <w:b/>
          <w:bCs/>
          <w:lang w:val="en-US"/>
        </w:rPr>
        <w:t xml:space="preserve"> a</w:t>
      </w:r>
      <w:r w:rsidRPr="00D31D8F">
        <w:rPr>
          <w:b/>
          <w:bCs/>
          <w:lang w:val="en-US"/>
        </w:rPr>
        <w:t xml:space="preserve"> CC with H</w:t>
      </w:r>
      <w:r>
        <w:rPr>
          <w:b/>
          <w:bCs/>
          <w:lang w:val="en-US"/>
        </w:rPr>
        <w:t>/</w:t>
      </w:r>
      <w:r w:rsidRPr="00D31D8F">
        <w:rPr>
          <w:b/>
          <w:bCs/>
          <w:lang w:val="en-US"/>
        </w:rPr>
        <w:t>S</w:t>
      </w:r>
      <w:r>
        <w:rPr>
          <w:b/>
          <w:bCs/>
          <w:lang w:val="en-US"/>
        </w:rPr>
        <w:t>/</w:t>
      </w:r>
      <w:r w:rsidRPr="00D31D8F">
        <w:rPr>
          <w:b/>
          <w:bCs/>
          <w:lang w:val="en-US"/>
        </w:rPr>
        <w:t>NA configuration per RB set, where an RB set is a number of consecutive PRBs.</w:t>
      </w:r>
    </w:p>
    <w:p w14:paraId="34302400" w14:textId="77777777" w:rsidR="00347C4D" w:rsidRDefault="00347C4D" w:rsidP="00347C4D">
      <w:pPr>
        <w:pStyle w:val="ListParagraph"/>
        <w:numPr>
          <w:ilvl w:val="0"/>
          <w:numId w:val="33"/>
        </w:numPr>
        <w:rPr>
          <w:b/>
          <w:bCs/>
          <w:lang w:val="en-US"/>
        </w:rPr>
      </w:pPr>
      <w:r w:rsidRPr="00D31D8F">
        <w:rPr>
          <w:b/>
          <w:bCs/>
          <w:lang w:val="en-US"/>
        </w:rPr>
        <w:t>FFS: de</w:t>
      </w:r>
      <w:r>
        <w:rPr>
          <w:b/>
          <w:bCs/>
          <w:lang w:val="en-US"/>
        </w:rPr>
        <w:t>tailed definition of</w:t>
      </w:r>
      <w:r w:rsidRPr="00D31D8F">
        <w:rPr>
          <w:b/>
          <w:bCs/>
          <w:lang w:val="en-US"/>
        </w:rPr>
        <w:t xml:space="preserve"> an RB set as (starting PRB, number of PRBs)</w:t>
      </w:r>
      <w:r>
        <w:rPr>
          <w:b/>
          <w:bCs/>
          <w:lang w:val="en-US"/>
        </w:rPr>
        <w:t>.</w:t>
      </w:r>
    </w:p>
    <w:p w14:paraId="35E1F39C" w14:textId="77777777" w:rsidR="00347C4D" w:rsidRDefault="00347C4D" w:rsidP="00347C4D">
      <w:pPr>
        <w:pStyle w:val="ListParagraph"/>
        <w:numPr>
          <w:ilvl w:val="0"/>
          <w:numId w:val="33"/>
        </w:numPr>
        <w:rPr>
          <w:b/>
          <w:bCs/>
          <w:lang w:val="en-US"/>
        </w:rPr>
      </w:pPr>
      <w:r w:rsidRPr="00D31D8F">
        <w:rPr>
          <w:b/>
          <w:bCs/>
          <w:lang w:val="en-US"/>
        </w:rPr>
        <w:t>FFS: max number of RB sets.</w:t>
      </w:r>
    </w:p>
    <w:p w14:paraId="384B78D2" w14:textId="77777777" w:rsidR="00347C4D" w:rsidRPr="00D31D8F" w:rsidRDefault="00347C4D" w:rsidP="00347C4D">
      <w:pPr>
        <w:pStyle w:val="ListParagraph"/>
        <w:numPr>
          <w:ilvl w:val="0"/>
          <w:numId w:val="33"/>
        </w:numPr>
        <w:rPr>
          <w:b/>
          <w:bCs/>
          <w:lang w:val="en-US"/>
        </w:rPr>
      </w:pPr>
      <w:r w:rsidRPr="00D31D8F">
        <w:rPr>
          <w:b/>
          <w:bCs/>
          <w:lang w:val="en-US"/>
        </w:rPr>
        <w:t xml:space="preserve">FFS: </w:t>
      </w:r>
      <w:r>
        <w:rPr>
          <w:b/>
          <w:bCs/>
          <w:lang w:val="en-US"/>
        </w:rPr>
        <w:t>t</w:t>
      </w:r>
      <w:r w:rsidRPr="00D31D8F">
        <w:rPr>
          <w:b/>
          <w:bCs/>
          <w:lang w:val="en-US"/>
        </w:rPr>
        <w:t>he minimum size of an RB set, e.g. a table of minimum size</w:t>
      </w:r>
      <w:r>
        <w:rPr>
          <w:b/>
          <w:bCs/>
          <w:lang w:val="en-US"/>
        </w:rPr>
        <w:t>s</w:t>
      </w:r>
      <w:r w:rsidRPr="00D31D8F">
        <w:rPr>
          <w:b/>
          <w:bCs/>
          <w:lang w:val="en-US"/>
        </w:rPr>
        <w:t xml:space="preserve"> depending on carrier BW.</w:t>
      </w:r>
      <w:r w:rsidRPr="00D31D8F">
        <w:rPr>
          <w:b/>
          <w:bCs/>
        </w:rPr>
        <w:t xml:space="preserve"> </w:t>
      </w:r>
    </w:p>
    <w:p w14:paraId="4266DF43" w14:textId="77777777" w:rsidR="00347C4D" w:rsidRDefault="00347C4D" w:rsidP="00347C4D">
      <w:pPr>
        <w:pStyle w:val="Heading3"/>
      </w:pPr>
      <w:r>
        <w:t>2.2 Extension of dynamic management of soft resources to frequency domain</w:t>
      </w:r>
    </w:p>
    <w:p w14:paraId="7F8FF869" w14:textId="77777777" w:rsidR="00347C4D" w:rsidRDefault="00347C4D" w:rsidP="00347C4D">
      <w:r>
        <w:t xml:space="preserve">In RAN1-104e there was discussion on whether dynamic FDM within a carrier shall be supported, wherein the parent node can dynamically indicate availability of soft resources in frequency domain. In this section, we show that it can be beneficial to support dynamic FDM within a carrier, and we also show that it can be achieved by extending the RRC configured table for availability combinations while keeping DCI 2_5 unchanged.    </w:t>
      </w:r>
    </w:p>
    <w:p w14:paraId="5139C3A3" w14:textId="77777777" w:rsidR="00347C4D" w:rsidRDefault="00347C4D" w:rsidP="00347C4D">
      <w:r>
        <w:t xml:space="preserve">Firstly, we can see that the dynamic FDM can be beneficial regardless whether semi-static Hard/Soft/NA configuration is extended to frequency-domain. Even for existing Rel-16 DU cell resource configuration, wherein Hard/Soft/NA is indicated only in time-domain, it can still be beneficial to have the capability to dynamically coordinate soft resources in frequency-domain. As shown in Fig.3, the parent IAB-node may have multiple child nodes including the IAB-MT. For the soft slots/symbols where the IAB-MT is not scheduled by the parent node, the co-located IAB-DU can use the soft slots/symbols with full carrier BW; but for the soft slots/symbols where the IAB-MT is scheduled by the parent node, the IAB-MT and co-located IAB-DU may partition the soft slots/symbols in a FDM manner to achieve high resource utilization. In such scenario the parent node shall dynamically coordinate the soft resources in both time and frequency domain with the child node, e.g. based on traffic status, scheduling plan, and/or interference status etc. This can be done regardless whether the semi-static Hard/Soft/NA configuration is extended to frequency-domain. </w:t>
      </w:r>
    </w:p>
    <w:p w14:paraId="301328D8" w14:textId="77777777" w:rsidR="00347C4D" w:rsidRDefault="00347C4D" w:rsidP="00347C4D">
      <w:pPr>
        <w:rPr>
          <w:b/>
          <w:bCs/>
          <w:u w:val="single"/>
          <w:lang w:eastAsia="zh-CN"/>
        </w:rPr>
      </w:pPr>
      <w:r w:rsidRPr="00D24022">
        <w:rPr>
          <w:b/>
          <w:bCs/>
          <w:u w:val="single"/>
          <w:lang w:eastAsia="zh-CN"/>
        </w:rPr>
        <w:t>Observation</w:t>
      </w:r>
      <w:r>
        <w:rPr>
          <w:b/>
          <w:bCs/>
          <w:u w:val="single"/>
          <w:lang w:eastAsia="zh-CN"/>
        </w:rPr>
        <w:t xml:space="preserve"> 2.4</w:t>
      </w:r>
      <w:r w:rsidRPr="00D24022">
        <w:rPr>
          <w:b/>
          <w:bCs/>
          <w:u w:val="single"/>
          <w:lang w:eastAsia="zh-CN"/>
        </w:rPr>
        <w:t>:</w:t>
      </w:r>
    </w:p>
    <w:p w14:paraId="6A12BE22" w14:textId="77777777" w:rsidR="00347C4D" w:rsidRDefault="00347C4D" w:rsidP="00347C4D">
      <w:pPr>
        <w:rPr>
          <w:b/>
          <w:bCs/>
          <w:lang w:val="en-US"/>
        </w:rPr>
      </w:pPr>
      <w:r w:rsidRPr="00731672">
        <w:rPr>
          <w:b/>
          <w:bCs/>
          <w:lang w:val="en-US"/>
        </w:rPr>
        <w:t xml:space="preserve">Allowing for dynamic coordination of soft resources in frequency-domain can be beneficial to achieve higher resource utilization.  </w:t>
      </w:r>
    </w:p>
    <w:p w14:paraId="6C150C1F" w14:textId="77777777" w:rsidR="00347C4D" w:rsidRPr="000B4C05" w:rsidRDefault="00347C4D" w:rsidP="00347C4D">
      <w:pPr>
        <w:pStyle w:val="ListParagraph"/>
        <w:numPr>
          <w:ilvl w:val="0"/>
          <w:numId w:val="34"/>
        </w:numPr>
        <w:rPr>
          <w:b/>
          <w:bCs/>
          <w:lang w:val="en-US"/>
        </w:rPr>
      </w:pPr>
      <w:r w:rsidRPr="00731672">
        <w:rPr>
          <w:b/>
          <w:bCs/>
          <w:lang w:val="en-US"/>
        </w:rPr>
        <w:lastRenderedPageBreak/>
        <w:t xml:space="preserve">E.g. IAB-DU </w:t>
      </w:r>
      <w:r>
        <w:rPr>
          <w:b/>
          <w:bCs/>
          <w:lang w:val="en-US"/>
        </w:rPr>
        <w:t xml:space="preserve">can </w:t>
      </w:r>
      <w:r w:rsidRPr="00731672">
        <w:rPr>
          <w:b/>
          <w:bCs/>
          <w:lang w:val="en-US"/>
        </w:rPr>
        <w:t xml:space="preserve">use full BW when IAB-MT is not scheduled; otherwise </w:t>
      </w:r>
      <w:r>
        <w:rPr>
          <w:b/>
          <w:bCs/>
          <w:lang w:val="en-US"/>
        </w:rPr>
        <w:t xml:space="preserve">can </w:t>
      </w:r>
      <w:r w:rsidRPr="00731672">
        <w:rPr>
          <w:b/>
          <w:bCs/>
          <w:lang w:val="en-US"/>
        </w:rPr>
        <w:t>use part of BW.</w:t>
      </w:r>
    </w:p>
    <w:p w14:paraId="7E7EDF12" w14:textId="77777777" w:rsidR="00347C4D" w:rsidRDefault="00347C4D" w:rsidP="00347C4D">
      <w:r>
        <w:rPr>
          <w:noProof/>
        </w:rPr>
        <w:drawing>
          <wp:inline distT="0" distB="0" distL="0" distR="0" wp14:anchorId="7FCD7BED" wp14:editId="09183627">
            <wp:extent cx="6324600" cy="18487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53909" cy="1857352"/>
                    </a:xfrm>
                    <a:prstGeom prst="rect">
                      <a:avLst/>
                    </a:prstGeom>
                    <a:noFill/>
                  </pic:spPr>
                </pic:pic>
              </a:graphicData>
            </a:graphic>
          </wp:inline>
        </w:drawing>
      </w:r>
    </w:p>
    <w:p w14:paraId="64409F43" w14:textId="77777777" w:rsidR="00347C4D" w:rsidRDefault="00347C4D" w:rsidP="00347C4D">
      <w:pPr>
        <w:jc w:val="center"/>
        <w:rPr>
          <w:b/>
          <w:bCs/>
        </w:rPr>
      </w:pPr>
      <w:r w:rsidRPr="00BD409F">
        <w:rPr>
          <w:b/>
          <w:bCs/>
        </w:rPr>
        <w:t>Fig.3</w:t>
      </w:r>
      <w:r>
        <w:rPr>
          <w:b/>
          <w:bCs/>
        </w:rPr>
        <w:t xml:space="preserve"> Example of dynamic FDM within a carrier</w:t>
      </w:r>
    </w:p>
    <w:p w14:paraId="1E2AB292" w14:textId="77777777" w:rsidR="00347C4D" w:rsidRDefault="00347C4D" w:rsidP="00347C4D">
      <w:r>
        <w:t xml:space="preserve">In Fig.4, we show an example of signaling enhancements on Rel-16 DCI 2_5 framework to support dynamic FDM within a carrier. It can be seen that we can keep the existing DCI 2_5 format unchanged but extend the RRC configured table for the availability combinations so that availability can be indicated in both time and frequency domain. There can be different options to extend the RRC configured table, and two options are shown in Fig.4. In Option1, the one 3-bit </w:t>
      </w:r>
      <w:r w:rsidRPr="00F75F1A">
        <w:rPr>
          <w:i/>
          <w:iCs/>
        </w:rPr>
        <w:t>resourceAvailability</w:t>
      </w:r>
      <w:r>
        <w:t xml:space="preserve"> element per slot in Rel-16 can be extended to multiple </w:t>
      </w:r>
      <w:r w:rsidRPr="00F75F1A">
        <w:rPr>
          <w:i/>
          <w:iCs/>
        </w:rPr>
        <w:t>resourceAvailability</w:t>
      </w:r>
      <w:r>
        <w:t xml:space="preserve"> elements per slot, each associated with one RB set of the slot. In option2, the one 3-bit </w:t>
      </w:r>
      <w:r w:rsidRPr="00F75F1A">
        <w:rPr>
          <w:i/>
          <w:iCs/>
        </w:rPr>
        <w:t>resourceAvailability</w:t>
      </w:r>
      <w:r>
        <w:t xml:space="preserve"> element per slot in Rel-16 can be extended to two elements per slot: one for time-domain indication, and one for frequency-domain indication. It can be seen that option1 provides more flexible patterns but at cost of higher signaling overhead than option2. Further discussions can be done to determine the details of signaling enhancements required for supporting dynamic FDM within a carrier.       </w:t>
      </w:r>
    </w:p>
    <w:p w14:paraId="67114DB9" w14:textId="77777777" w:rsidR="00347C4D" w:rsidRDefault="00347C4D" w:rsidP="00347C4D">
      <w:pPr>
        <w:jc w:val="center"/>
      </w:pPr>
      <w:r>
        <w:rPr>
          <w:noProof/>
        </w:rPr>
        <w:drawing>
          <wp:inline distT="0" distB="0" distL="0" distR="0" wp14:anchorId="00E21DCF" wp14:editId="7D9E450B">
            <wp:extent cx="5915660" cy="22226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6541" cy="2230532"/>
                    </a:xfrm>
                    <a:prstGeom prst="rect">
                      <a:avLst/>
                    </a:prstGeom>
                    <a:noFill/>
                  </pic:spPr>
                </pic:pic>
              </a:graphicData>
            </a:graphic>
          </wp:inline>
        </w:drawing>
      </w:r>
    </w:p>
    <w:p w14:paraId="1DDFA560" w14:textId="77777777" w:rsidR="00347C4D" w:rsidRDefault="00347C4D" w:rsidP="00347C4D">
      <w:pPr>
        <w:jc w:val="center"/>
        <w:rPr>
          <w:b/>
          <w:bCs/>
        </w:rPr>
      </w:pPr>
      <w:r w:rsidRPr="0003657B">
        <w:rPr>
          <w:b/>
          <w:bCs/>
        </w:rPr>
        <w:t xml:space="preserve">Fig.4. </w:t>
      </w:r>
      <w:r>
        <w:rPr>
          <w:b/>
          <w:bCs/>
        </w:rPr>
        <w:t xml:space="preserve">Example of signaling enhancements to support dynamic FDM within a carrier </w:t>
      </w:r>
    </w:p>
    <w:p w14:paraId="27D80E52" w14:textId="77777777" w:rsidR="00347C4D" w:rsidRDefault="00347C4D" w:rsidP="00347C4D">
      <w:pPr>
        <w:rPr>
          <w:b/>
          <w:bCs/>
          <w:u w:val="single"/>
          <w:lang w:eastAsia="zh-CN"/>
        </w:rPr>
      </w:pPr>
      <w:r>
        <w:rPr>
          <w:b/>
          <w:bCs/>
          <w:u w:val="single"/>
          <w:lang w:eastAsia="zh-CN"/>
        </w:rPr>
        <w:t>Proposal 2.2</w:t>
      </w:r>
      <w:r w:rsidRPr="00D24022">
        <w:rPr>
          <w:b/>
          <w:bCs/>
          <w:u w:val="single"/>
          <w:lang w:eastAsia="zh-CN"/>
        </w:rPr>
        <w:t>:</w:t>
      </w:r>
    </w:p>
    <w:p w14:paraId="26AA2D57" w14:textId="77777777" w:rsidR="00347C4D" w:rsidRDefault="00347C4D" w:rsidP="00347C4D">
      <w:pPr>
        <w:rPr>
          <w:b/>
          <w:bCs/>
        </w:rPr>
      </w:pPr>
      <w:r w:rsidRPr="00656AE4">
        <w:rPr>
          <w:b/>
          <w:bCs/>
        </w:rPr>
        <w:t xml:space="preserve">Support dynamic FDM </w:t>
      </w:r>
      <w:r>
        <w:rPr>
          <w:b/>
          <w:bCs/>
        </w:rPr>
        <w:t>within a CC</w:t>
      </w:r>
      <w:r w:rsidRPr="00656AE4">
        <w:rPr>
          <w:b/>
          <w:bCs/>
        </w:rPr>
        <w:t xml:space="preserve"> by keeping existing DCI 2_5 format and extending RRC configured table for availability combinations to allow for indication of availability in frequency-domain in granularity of RB set</w:t>
      </w:r>
      <w:r>
        <w:rPr>
          <w:b/>
          <w:bCs/>
        </w:rPr>
        <w:t>.</w:t>
      </w:r>
    </w:p>
    <w:p w14:paraId="699A3C5E" w14:textId="77777777" w:rsidR="00347C4D" w:rsidRDefault="00347C4D" w:rsidP="00347C4D">
      <w:pPr>
        <w:pStyle w:val="ListParagraph"/>
        <w:numPr>
          <w:ilvl w:val="0"/>
          <w:numId w:val="34"/>
        </w:numPr>
        <w:rPr>
          <w:b/>
          <w:bCs/>
        </w:rPr>
      </w:pPr>
      <w:r>
        <w:rPr>
          <w:b/>
          <w:bCs/>
        </w:rPr>
        <w:t xml:space="preserve">FFS: details of signaling enhancements for the RRC configured table. </w:t>
      </w:r>
    </w:p>
    <w:p w14:paraId="5D0AD337" w14:textId="77777777" w:rsidR="00347C4D" w:rsidRDefault="00347C4D" w:rsidP="00347C4D">
      <w:r>
        <w:t xml:space="preserve">Note that if the semi-static configuration of Hard/Soft/NA is extended to frequency-domain, the term “soft DL/UL/Flexible symbols” used in the spec-defined table for </w:t>
      </w:r>
      <w:r w:rsidRPr="00EB7C21">
        <w:rPr>
          <w:i/>
          <w:iCs/>
        </w:rPr>
        <w:t>resourceAvailability</w:t>
      </w:r>
      <w:r>
        <w:t xml:space="preserve"> elements in TS38.213 [4] may not be valid, because a symbol can have mixed indications of “Hard/NA/Soft” at different RB sets in frequency-domain. Therefore, we propose to update the spec-defined table for </w:t>
      </w:r>
      <w:r w:rsidRPr="00EB7C21">
        <w:rPr>
          <w:i/>
          <w:iCs/>
        </w:rPr>
        <w:t>resourceAvailability</w:t>
      </w:r>
      <w:r>
        <w:t xml:space="preserve"> elements with more general terms so that it can be applied regardless whether the semi-static configuration of Hard/Soft/NA is extended to frequency-domain, e.g. replacing “soft DL/UL/Flexible symbols” with “soft resources in DL/UL/Flexible symbols” as shown in Fig.5.</w:t>
      </w:r>
    </w:p>
    <w:p w14:paraId="0355C27F" w14:textId="77777777" w:rsidR="00347C4D" w:rsidRDefault="00347C4D" w:rsidP="00347C4D">
      <w:pPr>
        <w:rPr>
          <w:b/>
          <w:bCs/>
          <w:u w:val="single"/>
          <w:lang w:eastAsia="zh-CN"/>
        </w:rPr>
      </w:pPr>
      <w:r>
        <w:rPr>
          <w:b/>
          <w:bCs/>
          <w:u w:val="single"/>
          <w:lang w:eastAsia="zh-CN"/>
        </w:rPr>
        <w:t>Proposal 2.3</w:t>
      </w:r>
      <w:r w:rsidRPr="00D24022">
        <w:rPr>
          <w:b/>
          <w:bCs/>
          <w:u w:val="single"/>
          <w:lang w:eastAsia="zh-CN"/>
        </w:rPr>
        <w:t>:</w:t>
      </w:r>
    </w:p>
    <w:p w14:paraId="0C1329A1" w14:textId="77777777" w:rsidR="00347C4D" w:rsidRPr="00784F24" w:rsidRDefault="00347C4D" w:rsidP="00347C4D">
      <w:pPr>
        <w:rPr>
          <w:b/>
          <w:bCs/>
          <w:lang w:val="en-US"/>
        </w:rPr>
      </w:pPr>
      <w:r w:rsidRPr="00784F24">
        <w:rPr>
          <w:b/>
          <w:bCs/>
          <w:lang w:val="en-US"/>
        </w:rPr>
        <w:lastRenderedPageBreak/>
        <w:t xml:space="preserve">Update resourceAvailability mapping table defined in TS38.213 so that the indication of availability can be applied over soft resources in frequency-domain for DL or UL or Flexible symbols. </w:t>
      </w:r>
    </w:p>
    <w:p w14:paraId="5630AE66" w14:textId="77777777" w:rsidR="00347C4D" w:rsidRDefault="00347C4D" w:rsidP="00347C4D">
      <w:pPr>
        <w:pStyle w:val="ListParagraph"/>
        <w:numPr>
          <w:ilvl w:val="0"/>
          <w:numId w:val="34"/>
        </w:numPr>
      </w:pPr>
      <w:r w:rsidRPr="00784F24">
        <w:rPr>
          <w:b/>
          <w:bCs/>
          <w:lang w:val="en-US"/>
        </w:rPr>
        <w:t>E.g. replacing “soft DL/UL/Flexible symbols” with “soft resources in DL/UL/Flexible symbols”</w:t>
      </w:r>
      <w:r w:rsidRPr="00784F24">
        <w:rPr>
          <w:b/>
          <w:bCs/>
        </w:rPr>
        <w:t xml:space="preserve"> </w:t>
      </w:r>
    </w:p>
    <w:p w14:paraId="249F5FA4" w14:textId="77777777" w:rsidR="00347C4D" w:rsidRDefault="00347C4D" w:rsidP="00347C4D">
      <w:pPr>
        <w:jc w:val="center"/>
      </w:pPr>
      <w:r>
        <w:rPr>
          <w:noProof/>
        </w:rPr>
        <w:drawing>
          <wp:inline distT="0" distB="0" distL="0" distR="0" wp14:anchorId="3BCBB5B4" wp14:editId="11067F67">
            <wp:extent cx="5764990" cy="1942733"/>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82159" cy="1948519"/>
                    </a:xfrm>
                    <a:prstGeom prst="rect">
                      <a:avLst/>
                    </a:prstGeom>
                    <a:noFill/>
                  </pic:spPr>
                </pic:pic>
              </a:graphicData>
            </a:graphic>
          </wp:inline>
        </w:drawing>
      </w:r>
    </w:p>
    <w:p w14:paraId="1124CF3A" w14:textId="77777777" w:rsidR="00347C4D" w:rsidRPr="004B2D03" w:rsidRDefault="00347C4D" w:rsidP="00347C4D">
      <w:pPr>
        <w:jc w:val="center"/>
        <w:rPr>
          <w:b/>
          <w:bCs/>
        </w:rPr>
      </w:pPr>
      <w:r w:rsidRPr="004B2D03">
        <w:rPr>
          <w:b/>
          <w:bCs/>
        </w:rPr>
        <w:t xml:space="preserve">Fig.5 </w:t>
      </w:r>
      <w:r>
        <w:rPr>
          <w:b/>
          <w:bCs/>
        </w:rPr>
        <w:t xml:space="preserve">Proposed changes to table of </w:t>
      </w:r>
      <w:r w:rsidRPr="00F24D3A">
        <w:rPr>
          <w:b/>
          <w:bCs/>
          <w:i/>
          <w:iCs/>
        </w:rPr>
        <w:t>resourceAvailability</w:t>
      </w:r>
      <w:r>
        <w:rPr>
          <w:b/>
          <w:bCs/>
        </w:rPr>
        <w:t xml:space="preserve"> elements defined in TS38.213. </w:t>
      </w:r>
    </w:p>
    <w:p w14:paraId="4C2EA3D5" w14:textId="77777777" w:rsidR="00347C4D" w:rsidRDefault="00347C4D" w:rsidP="00347C4D">
      <w:pPr>
        <w:pStyle w:val="Heading2"/>
      </w:pPr>
      <w:r>
        <w:t>3. Multi-parent support for IAB in Rel-17</w:t>
      </w:r>
    </w:p>
    <w:p w14:paraId="34501253" w14:textId="77777777" w:rsidR="00347C4D" w:rsidRDefault="00347C4D" w:rsidP="00347C4D">
      <w:r>
        <w:t xml:space="preserve">The following agreements have been made in RAN1-104e [2] regarding supporting multi-parent in IAB-network.  </w:t>
      </w:r>
    </w:p>
    <w:tbl>
      <w:tblPr>
        <w:tblStyle w:val="TableGrid"/>
        <w:tblW w:w="0" w:type="auto"/>
        <w:tblLook w:val="04A0" w:firstRow="1" w:lastRow="0" w:firstColumn="1" w:lastColumn="0" w:noHBand="0" w:noVBand="1"/>
      </w:tblPr>
      <w:tblGrid>
        <w:gridCol w:w="9629"/>
      </w:tblGrid>
      <w:tr w:rsidR="00347C4D" w14:paraId="34A7B467" w14:textId="77777777" w:rsidTr="003A2C92">
        <w:tc>
          <w:tcPr>
            <w:tcW w:w="9629" w:type="dxa"/>
          </w:tcPr>
          <w:p w14:paraId="7EDBBBDC" w14:textId="77777777" w:rsidR="00347C4D" w:rsidRDefault="00347C4D" w:rsidP="003A2C92">
            <w:pPr>
              <w:rPr>
                <w:lang w:eastAsia="x-none"/>
              </w:rPr>
            </w:pPr>
            <w:r w:rsidRPr="006A78E4">
              <w:rPr>
                <w:highlight w:val="green"/>
                <w:lang w:eastAsia="x-none"/>
              </w:rPr>
              <w:t>Agreements</w:t>
            </w:r>
            <w:r w:rsidRPr="006A78E4">
              <w:rPr>
                <w:lang w:eastAsia="x-none"/>
              </w:rPr>
              <w:t>:</w:t>
            </w:r>
          </w:p>
          <w:p w14:paraId="4EC2F296" w14:textId="77777777" w:rsidR="00347C4D" w:rsidRPr="00D11159" w:rsidRDefault="00347C4D" w:rsidP="003A2C92">
            <w:pPr>
              <w:spacing w:after="0"/>
              <w:rPr>
                <w:lang w:val="en-US" w:eastAsia="x-none"/>
              </w:rPr>
            </w:pPr>
            <w:r w:rsidRPr="00D11159">
              <w:rPr>
                <w:lang w:eastAsia="x-none"/>
              </w:rPr>
              <w:t>The following are considered to support at least inter-band inter-carrier scenarios in Rel-17:</w:t>
            </w:r>
          </w:p>
          <w:p w14:paraId="27E15483" w14:textId="77777777" w:rsidR="00347C4D" w:rsidRPr="00D11159" w:rsidRDefault="00347C4D" w:rsidP="00347C4D">
            <w:pPr>
              <w:numPr>
                <w:ilvl w:val="0"/>
                <w:numId w:val="35"/>
              </w:numPr>
              <w:spacing w:after="0"/>
              <w:rPr>
                <w:lang w:val="en-US" w:eastAsia="x-none"/>
              </w:rPr>
            </w:pPr>
            <w:r w:rsidRPr="00D11159">
              <w:rPr>
                <w:lang w:eastAsia="x-none"/>
              </w:rPr>
              <w:t xml:space="preserve">Solutions to address resource coordination/scheduling collision issues between parent nodes including TDD configurations and resource type indications at least in case of intra-donor CU multi-parent scenarios </w:t>
            </w:r>
          </w:p>
          <w:p w14:paraId="0A73EE46" w14:textId="77777777" w:rsidR="00347C4D" w:rsidRPr="00D11159" w:rsidRDefault="00347C4D" w:rsidP="00347C4D">
            <w:pPr>
              <w:numPr>
                <w:ilvl w:val="1"/>
                <w:numId w:val="35"/>
              </w:numPr>
              <w:spacing w:after="0"/>
              <w:rPr>
                <w:lang w:val="en-US" w:eastAsia="x-none"/>
              </w:rPr>
            </w:pPr>
            <w:r w:rsidRPr="00D11159">
              <w:rPr>
                <w:lang w:eastAsia="x-none"/>
              </w:rPr>
              <w:t>Consider Rel-16 CA framework as starting point</w:t>
            </w:r>
          </w:p>
          <w:p w14:paraId="1C88AE40" w14:textId="77777777" w:rsidR="00347C4D" w:rsidRPr="00D11159" w:rsidRDefault="00347C4D" w:rsidP="00347C4D">
            <w:pPr>
              <w:numPr>
                <w:ilvl w:val="1"/>
                <w:numId w:val="35"/>
              </w:numPr>
              <w:spacing w:after="0"/>
              <w:rPr>
                <w:lang w:val="en-US" w:eastAsia="x-none"/>
              </w:rPr>
            </w:pPr>
            <w:r w:rsidRPr="00D11159">
              <w:rPr>
                <w:lang w:eastAsia="x-none"/>
              </w:rPr>
              <w:t>Solutions for scheduling collision between two parent DUs due to indication of the resource availability for soft symbol(s) to the IAB-DU(s) by DCI format 2_5</w:t>
            </w:r>
          </w:p>
          <w:p w14:paraId="42919748" w14:textId="77777777" w:rsidR="00347C4D" w:rsidRPr="00D11159" w:rsidRDefault="00347C4D" w:rsidP="00347C4D">
            <w:pPr>
              <w:numPr>
                <w:ilvl w:val="1"/>
                <w:numId w:val="35"/>
              </w:numPr>
              <w:spacing w:after="0"/>
              <w:rPr>
                <w:lang w:val="en-US" w:eastAsia="x-none"/>
              </w:rPr>
            </w:pPr>
            <w:r w:rsidRPr="00D11159">
              <w:rPr>
                <w:lang w:eastAsia="x-none"/>
              </w:rPr>
              <w:t>Solutions for scheduling collision between two parent DUs due to indication of the slot format by DCI format 2_0</w:t>
            </w:r>
          </w:p>
          <w:p w14:paraId="66656A50" w14:textId="77777777" w:rsidR="00347C4D" w:rsidRPr="00D11159" w:rsidRDefault="00347C4D" w:rsidP="00347C4D">
            <w:pPr>
              <w:numPr>
                <w:ilvl w:val="1"/>
                <w:numId w:val="35"/>
              </w:numPr>
              <w:spacing w:after="0"/>
              <w:rPr>
                <w:lang w:val="en-US" w:eastAsia="x-none"/>
              </w:rPr>
            </w:pPr>
            <w:r w:rsidRPr="00D11159">
              <w:rPr>
                <w:lang w:eastAsia="x-none"/>
              </w:rPr>
              <w:t>FFS: Whether or not separate solutions are required for resource coordination in case of inter-donor CU multi-parent scenarios</w:t>
            </w:r>
          </w:p>
          <w:p w14:paraId="5BAC7200" w14:textId="77777777" w:rsidR="00347C4D" w:rsidRPr="00D11159" w:rsidRDefault="00347C4D" w:rsidP="00347C4D">
            <w:pPr>
              <w:numPr>
                <w:ilvl w:val="0"/>
                <w:numId w:val="35"/>
              </w:numPr>
              <w:spacing w:after="0"/>
              <w:rPr>
                <w:lang w:val="en-US" w:eastAsia="x-none"/>
              </w:rPr>
            </w:pPr>
            <w:r w:rsidRPr="00D11159">
              <w:rPr>
                <w:lang w:eastAsia="x-none"/>
              </w:rPr>
              <w:t>Per-backhaul link (e.g. per child IAB-MT link) resource configurations in addition to per-DU resource configurations</w:t>
            </w:r>
          </w:p>
          <w:p w14:paraId="019E5C45" w14:textId="77777777" w:rsidR="00347C4D" w:rsidRPr="00D11159" w:rsidRDefault="00347C4D" w:rsidP="00347C4D">
            <w:pPr>
              <w:numPr>
                <w:ilvl w:val="0"/>
                <w:numId w:val="35"/>
              </w:numPr>
              <w:spacing w:after="0"/>
              <w:rPr>
                <w:lang w:val="en-US" w:eastAsia="x-none"/>
              </w:rPr>
            </w:pPr>
            <w:r w:rsidRPr="00D11159">
              <w:rPr>
                <w:lang w:eastAsia="x-none"/>
              </w:rPr>
              <w:t>FFS: Enhancements to indication of soft resource availability from child node to parent node(s)</w:t>
            </w:r>
          </w:p>
          <w:p w14:paraId="3346769E" w14:textId="77777777" w:rsidR="00347C4D" w:rsidRPr="00D11159" w:rsidRDefault="00347C4D" w:rsidP="00347C4D">
            <w:pPr>
              <w:numPr>
                <w:ilvl w:val="0"/>
                <w:numId w:val="35"/>
              </w:numPr>
              <w:spacing w:after="0"/>
              <w:rPr>
                <w:lang w:val="en-US" w:eastAsia="x-none"/>
              </w:rPr>
            </w:pPr>
            <w:r w:rsidRPr="00D11159">
              <w:rPr>
                <w:lang w:eastAsia="x-none"/>
              </w:rPr>
              <w:t>FFS: Additional restrictions on simultaneous operation and/or multiplexing</w:t>
            </w:r>
          </w:p>
          <w:p w14:paraId="3141640A" w14:textId="77777777" w:rsidR="00347C4D" w:rsidRPr="00746F61" w:rsidRDefault="00347C4D" w:rsidP="00347C4D">
            <w:pPr>
              <w:numPr>
                <w:ilvl w:val="0"/>
                <w:numId w:val="35"/>
              </w:numPr>
              <w:spacing w:after="0"/>
              <w:rPr>
                <w:lang w:val="en-US" w:eastAsia="x-none"/>
              </w:rPr>
            </w:pPr>
            <w:r w:rsidRPr="00D11159">
              <w:rPr>
                <w:lang w:eastAsia="x-none"/>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tc>
      </w:tr>
    </w:tbl>
    <w:p w14:paraId="20C0B0AB" w14:textId="77777777" w:rsidR="00347C4D" w:rsidRDefault="00347C4D" w:rsidP="00347C4D"/>
    <w:p w14:paraId="1B4658C4" w14:textId="77777777" w:rsidR="00347C4D" w:rsidRDefault="00347C4D" w:rsidP="00347C4D">
      <w:pPr>
        <w:pStyle w:val="Heading3"/>
      </w:pPr>
      <w:r>
        <w:t>3.1 Supporting TDD confliction resolution for NR-DC</w:t>
      </w:r>
    </w:p>
    <w:p w14:paraId="74C821B7" w14:textId="77777777" w:rsidR="00347C4D" w:rsidRDefault="00347C4D" w:rsidP="00347C4D">
      <w:r>
        <w:t xml:space="preserve">To support multi-parent in IAB-network via at least inter-band NR-DC framework, it was agreed in RAN1-104e to consider solutions to address potential TDD conflictions from two parent nodes, e.g. due to independent SFI indications from two parent nodes or independent TDD configurations in case of inter-donor CU multi-parent scenarios. It was also agreed to consider Rel-16 CA framework as a starting point. In Rel-16, the TDD confliction resolution framework is specified for CA in TS38.213 [4], wherein TDD confliction resolution rules are defined between a serving cell and a reference cell within a cell group for a half-duplex UE (UE without simultaneous RX and TX capability). Note that in Rel-16, this TDD confliction resolution framework is only limited to CA and is not applicable for NR-DC. On the other hand, the supported band combinations for NR-DC in Rel-16 are only limited to inter-band FR1+FR1 with FDD bands, or inter-band FR1+FR2 combinations, where the UE is required to have mandatory simultaneous RX/TX capability as part of inter-band combination for CA [5,6]. Therefore, in Rel-16, there is also no need to specify TDD confliction resolution rules for NR-DC on the supported band combinations listed in [5,6]. However, in an IAB network, it is crucial to support at least inter-band FR2+FR2 or intra-band inter-carrier NR-DC to achieve coverage extension via </w:t>
      </w:r>
      <w:r>
        <w:lastRenderedPageBreak/>
        <w:t xml:space="preserve">multi-hop IAB-network for FR2, and for these band combinations to be added, the UE (and consequently the IAB-MT) may or may not have simultaneous RX/TX capability. </w:t>
      </w:r>
    </w:p>
    <w:p w14:paraId="3CC26F1E" w14:textId="77777777" w:rsidR="00347C4D" w:rsidRDefault="00347C4D" w:rsidP="00347C4D">
      <w:pPr>
        <w:rPr>
          <w:b/>
          <w:bCs/>
          <w:u w:val="single"/>
          <w:lang w:eastAsia="zh-CN"/>
        </w:rPr>
      </w:pPr>
      <w:r>
        <w:rPr>
          <w:b/>
          <w:bCs/>
          <w:u w:val="single"/>
          <w:lang w:eastAsia="zh-CN"/>
        </w:rPr>
        <w:t>Observation 3.1</w:t>
      </w:r>
      <w:r w:rsidRPr="00D24022">
        <w:rPr>
          <w:b/>
          <w:bCs/>
          <w:u w:val="single"/>
          <w:lang w:eastAsia="zh-CN"/>
        </w:rPr>
        <w:t>:</w:t>
      </w:r>
    </w:p>
    <w:p w14:paraId="0A2D96E9" w14:textId="77777777" w:rsidR="00347C4D" w:rsidRDefault="00347C4D" w:rsidP="00347C4D">
      <w:pPr>
        <w:rPr>
          <w:b/>
          <w:bCs/>
        </w:rPr>
      </w:pPr>
      <w:r w:rsidRPr="0049299B">
        <w:rPr>
          <w:b/>
          <w:bCs/>
        </w:rPr>
        <w:t xml:space="preserve">In </w:t>
      </w:r>
      <w:r>
        <w:rPr>
          <w:b/>
          <w:bCs/>
        </w:rPr>
        <w:t>Rel-16</w:t>
      </w:r>
      <w:r w:rsidRPr="0049299B">
        <w:rPr>
          <w:b/>
          <w:bCs/>
        </w:rPr>
        <w:t xml:space="preserve">, TDD confliction resolution is specified for CA (both intra-band and inter-band CA), and it is not applicable for NR-DC, where NR-DC is limited to inter-band with FR1+FR1 or FR1+FR2. </w:t>
      </w:r>
    </w:p>
    <w:p w14:paraId="1203274A" w14:textId="77777777" w:rsidR="00347C4D" w:rsidRDefault="00347C4D" w:rsidP="00347C4D">
      <w:pPr>
        <w:rPr>
          <w:b/>
          <w:bCs/>
          <w:u w:val="single"/>
          <w:lang w:eastAsia="zh-CN"/>
        </w:rPr>
      </w:pPr>
      <w:r>
        <w:rPr>
          <w:b/>
          <w:bCs/>
          <w:u w:val="single"/>
          <w:lang w:eastAsia="zh-CN"/>
        </w:rPr>
        <w:t>Observation 3.2</w:t>
      </w:r>
      <w:r w:rsidRPr="00D24022">
        <w:rPr>
          <w:b/>
          <w:bCs/>
          <w:u w:val="single"/>
          <w:lang w:eastAsia="zh-CN"/>
        </w:rPr>
        <w:t>:</w:t>
      </w:r>
    </w:p>
    <w:p w14:paraId="1E06EFAB" w14:textId="77777777" w:rsidR="00347C4D" w:rsidRDefault="00347C4D" w:rsidP="00347C4D">
      <w:r>
        <w:rPr>
          <w:b/>
          <w:bCs/>
        </w:rPr>
        <w:t>T</w:t>
      </w:r>
      <w:r w:rsidRPr="00DE4A6A">
        <w:rPr>
          <w:b/>
          <w:bCs/>
        </w:rPr>
        <w:t xml:space="preserve">o </w:t>
      </w:r>
      <w:r>
        <w:rPr>
          <w:b/>
          <w:bCs/>
        </w:rPr>
        <w:t>achieve</w:t>
      </w:r>
      <w:r w:rsidRPr="00DE4A6A">
        <w:rPr>
          <w:b/>
          <w:bCs/>
        </w:rPr>
        <w:t xml:space="preserve"> coverage extension via IA</w:t>
      </w:r>
      <w:r>
        <w:rPr>
          <w:b/>
          <w:bCs/>
        </w:rPr>
        <w:t>B</w:t>
      </w:r>
      <w:r w:rsidRPr="00DE4A6A">
        <w:rPr>
          <w:b/>
          <w:bCs/>
        </w:rPr>
        <w:t>, it is crucial to support at least inter-band FR2+FR2 NR-DC and intra-band inter-carrier NR-DC, where UE may or may not have capability of simultaneous RX/TX over the band combinations to be added</w:t>
      </w:r>
      <w:r>
        <w:rPr>
          <w:b/>
          <w:bCs/>
        </w:rPr>
        <w:t>.</w:t>
      </w:r>
      <w:r>
        <w:t xml:space="preserve">  </w:t>
      </w:r>
    </w:p>
    <w:p w14:paraId="0B2525ED" w14:textId="77777777" w:rsidR="00347C4D" w:rsidRDefault="00347C4D" w:rsidP="00347C4D">
      <w:r>
        <w:t>Note that NR-DC may differ from CA in the following two aspects regarding TDD confliction resolution:</w:t>
      </w:r>
    </w:p>
    <w:p w14:paraId="2B2CAE6B" w14:textId="77777777" w:rsidR="00347C4D" w:rsidRDefault="00347C4D" w:rsidP="00347C4D">
      <w:pPr>
        <w:pStyle w:val="ListParagraph"/>
        <w:numPr>
          <w:ilvl w:val="0"/>
          <w:numId w:val="34"/>
        </w:numPr>
      </w:pPr>
      <w:r>
        <w:t>NR-DC has two independent MAC schedulers for two cell groups from two parent nodes, and some rules defined for CA with single MAC scheduler may not be applicable for NR-DC with independent MAC schedulers and may need modification if extending to NR-DC.</w:t>
      </w:r>
    </w:p>
    <w:p w14:paraId="6C2C16FC" w14:textId="77777777" w:rsidR="00347C4D" w:rsidRDefault="00347C4D" w:rsidP="00347C4D">
      <w:pPr>
        <w:pStyle w:val="ListParagraph"/>
        <w:numPr>
          <w:ilvl w:val="1"/>
          <w:numId w:val="34"/>
        </w:numPr>
      </w:pPr>
      <w:r>
        <w:t>E.g. the rule of “</w:t>
      </w:r>
      <w:r w:rsidRPr="00065299">
        <w:rPr>
          <w:i/>
          <w:iCs/>
        </w:rPr>
        <w:t>the UE</w:t>
      </w:r>
      <w:r>
        <w:t xml:space="preserve"> </w:t>
      </w:r>
      <w:r w:rsidRPr="00FB31BF">
        <w:rPr>
          <w:i/>
          <w:iCs/>
          <w:lang w:val="en-US"/>
        </w:rPr>
        <w:t>does not expect to detect a first DCI format scheduling a transmission or reception on a symbol on a first cell and a second DCI format scheduling a reception or transmission on the symbol on a second cell, respectively</w:t>
      </w:r>
      <w:r>
        <w:rPr>
          <w:lang w:val="en-US"/>
        </w:rPr>
        <w:t xml:space="preserve">” may not be applicable for NR-DC with two independent MAC schedulers. </w:t>
      </w:r>
    </w:p>
    <w:p w14:paraId="727AB2C3" w14:textId="77777777" w:rsidR="00347C4D" w:rsidRDefault="00347C4D" w:rsidP="00347C4D">
      <w:pPr>
        <w:pStyle w:val="ListParagraph"/>
        <w:numPr>
          <w:ilvl w:val="1"/>
          <w:numId w:val="34"/>
        </w:numPr>
      </w:pPr>
      <w:r>
        <w:t>On the other hand, Rel-16 has provided signaling “</w:t>
      </w:r>
      <w:r w:rsidRPr="00E2335A">
        <w:rPr>
          <w:i/>
          <w:iCs/>
        </w:rPr>
        <w:t>intended TDD DL-UL configuration</w:t>
      </w:r>
      <w:r>
        <w:t xml:space="preserve">” over Xn and F1 interface to exchange intended TDD configurations between gNBs and between CU and DU. This signaling can be used in IAB to coordinate semi-static DL/UL directions between two parent nodes and to minimize the TDD conflictions in NR-DC. </w:t>
      </w:r>
    </w:p>
    <w:p w14:paraId="6828CE5C" w14:textId="77777777" w:rsidR="00347C4D" w:rsidRDefault="00347C4D" w:rsidP="00347C4D">
      <w:pPr>
        <w:pStyle w:val="ListParagraph"/>
        <w:numPr>
          <w:ilvl w:val="2"/>
          <w:numId w:val="34"/>
        </w:numPr>
      </w:pPr>
      <w:r>
        <w:t>With this signaling coordination, some of the rules for avoiding confliction in CA may be applicable for NR-DC, e.g. the rule of “</w:t>
      </w:r>
      <w:r w:rsidRPr="00A56337">
        <w:rPr>
          <w:i/>
          <w:iCs/>
          <w:lang w:val="en-US"/>
        </w:rPr>
        <w:t xml:space="preserve">does not expect tdd-UL-DL-ConfigurationCommon or tdd-UL-DL-ConfigurationDedicated for the reference cell to indicate a symbol as uplink and to detect a DCI format </w:t>
      </w:r>
      <w:r w:rsidRPr="00A56337">
        <w:rPr>
          <w:rStyle w:val="CommentReference"/>
          <w:i/>
          <w:iCs/>
          <w:sz w:val="20"/>
          <w:szCs w:val="20"/>
          <w:lang w:val="en-US"/>
        </w:rPr>
        <w:t>scheduling</w:t>
      </w:r>
      <w:r w:rsidRPr="00A56337">
        <w:rPr>
          <w:i/>
          <w:iCs/>
          <w:lang w:val="en-US"/>
        </w:rPr>
        <w:t xml:space="preserve"> a reception on the symbol on another cell</w:t>
      </w:r>
      <w:r>
        <w:rPr>
          <w:lang w:val="en-US"/>
        </w:rPr>
        <w:t>”.</w:t>
      </w:r>
      <w:r>
        <w:t xml:space="preserve">    </w:t>
      </w:r>
    </w:p>
    <w:p w14:paraId="00819271" w14:textId="77777777" w:rsidR="00347C4D" w:rsidRDefault="00347C4D" w:rsidP="00347C4D">
      <w:pPr>
        <w:pStyle w:val="ListParagraph"/>
        <w:numPr>
          <w:ilvl w:val="0"/>
          <w:numId w:val="34"/>
        </w:numPr>
      </w:pPr>
      <w:r w:rsidRPr="003406FA">
        <w:t>NR-DC can have synchronous or asynchronous operation, and synchronous NR-DC has similar timing requirements as inter-band CA, but asynchronous NR-DC can have much larger timing difference than CA</w:t>
      </w:r>
      <w:r>
        <w:t xml:space="preserve"> as specified in TS38.133 [7].</w:t>
      </w:r>
    </w:p>
    <w:p w14:paraId="05DBA590" w14:textId="77777777" w:rsidR="00347C4D" w:rsidRDefault="00347C4D" w:rsidP="00347C4D">
      <w:pPr>
        <w:pStyle w:val="ListParagraph"/>
        <w:numPr>
          <w:ilvl w:val="1"/>
          <w:numId w:val="34"/>
        </w:numPr>
      </w:pPr>
      <w:r>
        <w:t xml:space="preserve">The max receiving timing difference for synchronous NR-DC at inter-FR2 bands is 8us, which is around half symbol duration for SCS=60KHz and corresponds to a distance difference of 2400meter. </w:t>
      </w:r>
    </w:p>
    <w:p w14:paraId="566B34BE" w14:textId="77777777" w:rsidR="00347C4D" w:rsidRDefault="00347C4D" w:rsidP="00347C4D">
      <w:pPr>
        <w:pStyle w:val="ListParagraph"/>
        <w:numPr>
          <w:ilvl w:val="1"/>
          <w:numId w:val="34"/>
        </w:numPr>
      </w:pPr>
      <w:r>
        <w:t>Note that NR-DC in IAB-network with case1 timing belongs to synchronous NR-DC operation.</w:t>
      </w:r>
    </w:p>
    <w:p w14:paraId="69D34188" w14:textId="77777777" w:rsidR="00347C4D" w:rsidRDefault="00347C4D" w:rsidP="00347C4D">
      <w:r>
        <w:t xml:space="preserve">Therefore, we propose to extend the extend the CA TDD confliction resolution framework to at least synchronous NR-DC.  </w:t>
      </w:r>
    </w:p>
    <w:p w14:paraId="6885FD8F" w14:textId="77777777" w:rsidR="00347C4D" w:rsidRDefault="00347C4D" w:rsidP="00347C4D">
      <w:r>
        <w:rPr>
          <w:b/>
          <w:bCs/>
          <w:u w:val="single"/>
          <w:lang w:eastAsia="zh-CN"/>
        </w:rPr>
        <w:t>Observation 3.3</w:t>
      </w:r>
      <w:r w:rsidRPr="00D24022">
        <w:rPr>
          <w:b/>
          <w:bCs/>
          <w:u w:val="single"/>
          <w:lang w:eastAsia="zh-CN"/>
        </w:rPr>
        <w:t>:</w:t>
      </w:r>
    </w:p>
    <w:p w14:paraId="775D3A27" w14:textId="77777777" w:rsidR="00347C4D" w:rsidRDefault="00347C4D" w:rsidP="00347C4D">
      <w:pPr>
        <w:rPr>
          <w:b/>
          <w:bCs/>
        </w:rPr>
      </w:pPr>
      <w:r>
        <w:rPr>
          <w:b/>
          <w:bCs/>
        </w:rPr>
        <w:t xml:space="preserve">Some of the CA TDD confliction resolution rules may not be applicable for NR-DC with independent MAC schedulers and may need modification if extending to NR-DC. </w:t>
      </w:r>
    </w:p>
    <w:p w14:paraId="4E8CD6E3" w14:textId="77777777" w:rsidR="00347C4D" w:rsidRDefault="00347C4D" w:rsidP="00347C4D">
      <w:pPr>
        <w:rPr>
          <w:b/>
          <w:bCs/>
        </w:rPr>
      </w:pPr>
      <w:r>
        <w:rPr>
          <w:b/>
          <w:bCs/>
          <w:u w:val="single"/>
          <w:lang w:eastAsia="zh-CN"/>
        </w:rPr>
        <w:t>Observation 3.4</w:t>
      </w:r>
      <w:r w:rsidRPr="00D24022">
        <w:rPr>
          <w:b/>
          <w:bCs/>
          <w:u w:val="single"/>
          <w:lang w:eastAsia="zh-CN"/>
        </w:rPr>
        <w:t>:</w:t>
      </w:r>
    </w:p>
    <w:p w14:paraId="0C1CB1E3" w14:textId="77777777" w:rsidR="00347C4D" w:rsidRPr="00E80487" w:rsidRDefault="00347C4D" w:rsidP="00347C4D">
      <w:pPr>
        <w:rPr>
          <w:b/>
          <w:bCs/>
        </w:rPr>
      </w:pPr>
      <w:r>
        <w:rPr>
          <w:b/>
          <w:bCs/>
        </w:rPr>
        <w:t>Rel-16</w:t>
      </w:r>
      <w:r w:rsidRPr="00E80487">
        <w:rPr>
          <w:b/>
          <w:bCs/>
        </w:rPr>
        <w:t xml:space="preserve"> </w:t>
      </w:r>
      <w:r>
        <w:rPr>
          <w:b/>
          <w:bCs/>
        </w:rPr>
        <w:t>signaling</w:t>
      </w:r>
      <w:r w:rsidRPr="00E80487">
        <w:rPr>
          <w:b/>
          <w:bCs/>
        </w:rPr>
        <w:t xml:space="preserve"> “intended TDD DL-UL configuration” defined over Xn and F1 interface can be used by IAB-network to </w:t>
      </w:r>
      <w:r>
        <w:rPr>
          <w:b/>
          <w:bCs/>
        </w:rPr>
        <w:t>coordinate TDD DL/UL directions</w:t>
      </w:r>
      <w:r w:rsidRPr="00E80487">
        <w:rPr>
          <w:b/>
          <w:bCs/>
        </w:rPr>
        <w:t xml:space="preserve"> between two parent nodes</w:t>
      </w:r>
      <w:r>
        <w:rPr>
          <w:b/>
          <w:bCs/>
        </w:rPr>
        <w:t xml:space="preserve"> and to minimize conflictions.</w:t>
      </w:r>
    </w:p>
    <w:p w14:paraId="43E108C3" w14:textId="77777777" w:rsidR="00347C4D" w:rsidRDefault="00347C4D" w:rsidP="00347C4D">
      <w:pPr>
        <w:overflowPunct/>
        <w:autoSpaceDE/>
        <w:autoSpaceDN/>
        <w:adjustRightInd/>
        <w:spacing w:after="0"/>
        <w:textAlignment w:val="auto"/>
        <w:rPr>
          <w:b/>
          <w:bCs/>
          <w:u w:val="single"/>
          <w:lang w:eastAsia="zh-CN"/>
        </w:rPr>
      </w:pPr>
      <w:r>
        <w:rPr>
          <w:b/>
          <w:bCs/>
          <w:u w:val="single"/>
          <w:lang w:eastAsia="zh-CN"/>
        </w:rPr>
        <w:t>Proposal 3.1</w:t>
      </w:r>
      <w:r w:rsidRPr="00D24022">
        <w:rPr>
          <w:b/>
          <w:bCs/>
          <w:u w:val="single"/>
          <w:lang w:eastAsia="zh-CN"/>
        </w:rPr>
        <w:t>:</w:t>
      </w:r>
    </w:p>
    <w:p w14:paraId="2B19FCA1" w14:textId="77777777" w:rsidR="00347C4D" w:rsidRDefault="00347C4D" w:rsidP="00347C4D">
      <w:pPr>
        <w:overflowPunct/>
        <w:autoSpaceDE/>
        <w:autoSpaceDN/>
        <w:adjustRightInd/>
        <w:spacing w:after="0"/>
        <w:textAlignment w:val="auto"/>
        <w:rPr>
          <w:b/>
          <w:bCs/>
          <w:lang w:val="en-US"/>
        </w:rPr>
      </w:pPr>
    </w:p>
    <w:p w14:paraId="1EFD7386" w14:textId="77777777" w:rsidR="00347C4D" w:rsidRDefault="00347C4D" w:rsidP="00347C4D">
      <w:pPr>
        <w:overflowPunct/>
        <w:autoSpaceDE/>
        <w:autoSpaceDN/>
        <w:adjustRightInd/>
        <w:spacing w:after="0"/>
        <w:textAlignment w:val="auto"/>
        <w:rPr>
          <w:b/>
          <w:bCs/>
          <w:lang w:val="en-US"/>
        </w:rPr>
      </w:pPr>
      <w:r w:rsidRPr="00792598">
        <w:rPr>
          <w:b/>
          <w:bCs/>
          <w:lang w:val="en-US"/>
        </w:rPr>
        <w:t xml:space="preserve">Extend </w:t>
      </w:r>
      <w:r>
        <w:rPr>
          <w:b/>
          <w:bCs/>
          <w:lang w:val="en-US"/>
        </w:rPr>
        <w:t>Rel-16</w:t>
      </w:r>
      <w:r w:rsidRPr="00792598">
        <w:rPr>
          <w:b/>
          <w:bCs/>
          <w:lang w:val="en-US"/>
        </w:rPr>
        <w:t xml:space="preserve"> </w:t>
      </w:r>
      <w:r>
        <w:rPr>
          <w:b/>
          <w:bCs/>
          <w:lang w:val="en-US"/>
        </w:rPr>
        <w:t xml:space="preserve">CA </w:t>
      </w:r>
      <w:r w:rsidRPr="00792598">
        <w:rPr>
          <w:b/>
          <w:bCs/>
          <w:lang w:val="en-US"/>
        </w:rPr>
        <w:t xml:space="preserve">TDD confliction resolution framework for at least synchronous </w:t>
      </w:r>
      <w:r w:rsidRPr="00AD6547">
        <w:rPr>
          <w:b/>
          <w:bCs/>
          <w:lang w:val="en-US"/>
        </w:rPr>
        <w:t>intra-band</w:t>
      </w:r>
      <w:r>
        <w:rPr>
          <w:b/>
          <w:bCs/>
          <w:lang w:val="en-US"/>
        </w:rPr>
        <w:t xml:space="preserve"> </w:t>
      </w:r>
      <w:r w:rsidRPr="00792598">
        <w:rPr>
          <w:b/>
          <w:bCs/>
          <w:lang w:val="en-US"/>
        </w:rPr>
        <w:t xml:space="preserve">NR-DC operation, which has the same minimum requirements in TS38.133 on max receiving timing difference (MRTD) as the inter-band CA operation. </w:t>
      </w:r>
    </w:p>
    <w:p w14:paraId="7C4596A5" w14:textId="77777777" w:rsidR="00347C4D" w:rsidRDefault="00347C4D" w:rsidP="00347C4D">
      <w:pPr>
        <w:pStyle w:val="ListParagraph"/>
        <w:numPr>
          <w:ilvl w:val="0"/>
          <w:numId w:val="36"/>
        </w:numPr>
        <w:overflowPunct/>
        <w:autoSpaceDE/>
        <w:autoSpaceDN/>
        <w:adjustRightInd/>
        <w:spacing w:after="0"/>
        <w:textAlignment w:val="auto"/>
        <w:rPr>
          <w:b/>
          <w:bCs/>
          <w:lang w:val="en-US"/>
        </w:rPr>
      </w:pPr>
      <w:r w:rsidRPr="00C66E47">
        <w:rPr>
          <w:b/>
          <w:bCs/>
          <w:lang w:val="en-US"/>
        </w:rPr>
        <w:t>FFS: detailed spec changes</w:t>
      </w:r>
      <w:r>
        <w:rPr>
          <w:b/>
          <w:bCs/>
          <w:lang w:val="en-US"/>
        </w:rPr>
        <w:t xml:space="preserve"> with consideration of independent MAC schedulers at NR-DC</w:t>
      </w:r>
      <w:r w:rsidRPr="00C66E47">
        <w:rPr>
          <w:b/>
          <w:bCs/>
          <w:lang w:val="en-US"/>
        </w:rPr>
        <w:t>, e.g. on TS38.213, TS38.331, TS38.306.</w:t>
      </w:r>
    </w:p>
    <w:p w14:paraId="14B13646" w14:textId="77777777" w:rsidR="00347C4D" w:rsidRPr="00B57B4A" w:rsidRDefault="00347C4D" w:rsidP="00347C4D">
      <w:pPr>
        <w:pStyle w:val="ListParagraph"/>
        <w:numPr>
          <w:ilvl w:val="0"/>
          <w:numId w:val="36"/>
        </w:numPr>
        <w:overflowPunct/>
        <w:autoSpaceDE/>
        <w:autoSpaceDN/>
        <w:adjustRightInd/>
        <w:spacing w:after="0"/>
        <w:textAlignment w:val="auto"/>
        <w:rPr>
          <w:b/>
          <w:bCs/>
          <w:lang w:val="en-US"/>
        </w:rPr>
      </w:pPr>
      <w:r w:rsidRPr="00CD0F41">
        <w:rPr>
          <w:b/>
          <w:bCs/>
          <w:lang w:val="en-US"/>
        </w:rPr>
        <w:t xml:space="preserve">FFS: whether extension is also required for inter-band FR2+FR2 NR-DC, or the IAB-MT is mandatorily required to have capability of simultaneous RX/TX for FR2+FR2 inter-band NR-DC over supported band combinations.  </w:t>
      </w:r>
    </w:p>
    <w:p w14:paraId="6D7BD87E" w14:textId="77777777" w:rsidR="00347C4D" w:rsidRDefault="00347C4D" w:rsidP="00347C4D">
      <w:pPr>
        <w:pStyle w:val="Heading3"/>
        <w:rPr>
          <w:lang w:val="en-US"/>
        </w:rPr>
      </w:pPr>
      <w:r>
        <w:rPr>
          <w:lang w:val="en-US"/>
        </w:rPr>
        <w:lastRenderedPageBreak/>
        <w:t>3.2 Extension of soft resource management for NR-DC</w:t>
      </w:r>
    </w:p>
    <w:p w14:paraId="432D5B66" w14:textId="77777777" w:rsidR="00347C4D" w:rsidRDefault="00347C4D" w:rsidP="00347C4D">
      <w:r>
        <w:rPr>
          <w:lang w:val="en-US"/>
        </w:rPr>
        <w:t xml:space="preserve">For a single parent case, if the </w:t>
      </w:r>
      <w:r w:rsidRPr="005D522F">
        <w:t>IAB-MT is configured with DCI</w:t>
      </w:r>
      <w:r>
        <w:t xml:space="preserve"> </w:t>
      </w:r>
      <w:r w:rsidRPr="005D522F">
        <w:t xml:space="preserve">2_5 from multiple serving cells, </w:t>
      </w:r>
      <w:r>
        <w:t xml:space="preserve">it is expected that </w:t>
      </w:r>
      <w:r w:rsidRPr="005D522F">
        <w:t>the received multiple DCI</w:t>
      </w:r>
      <w:r>
        <w:t xml:space="preserve"> </w:t>
      </w:r>
      <w:r w:rsidRPr="005D522F">
        <w:t>2_5s should be consistent with each other</w:t>
      </w:r>
      <w:r>
        <w:t>, since they all decided by a single MAC scheduler at the parent DU. In fact, it should be sufficient to configure DCI 2_5 monitoring at only one serving cell of IAB-MT in case of single-parent. But for a multi-parent case, since each parent node has independent MAC scheduler, each parent node may independently determine whether to release a resource for the child node, therefore the availability of a soft resource at an IAB-DU shall depend on the explicit and/or implicit control from both parent nodes.</w:t>
      </w:r>
    </w:p>
    <w:p w14:paraId="3E183B2F" w14:textId="77777777" w:rsidR="00347C4D" w:rsidRDefault="00347C4D" w:rsidP="00347C4D">
      <w:r>
        <w:rPr>
          <w:b/>
          <w:bCs/>
          <w:u w:val="single"/>
          <w:lang w:eastAsia="zh-CN"/>
        </w:rPr>
        <w:t>Observation 3.4</w:t>
      </w:r>
      <w:r w:rsidRPr="00D24022">
        <w:rPr>
          <w:b/>
          <w:bCs/>
          <w:u w:val="single"/>
          <w:lang w:eastAsia="zh-CN"/>
        </w:rPr>
        <w:t>:</w:t>
      </w:r>
    </w:p>
    <w:p w14:paraId="42A35FD4" w14:textId="77777777" w:rsidR="00347C4D" w:rsidRDefault="00347C4D" w:rsidP="00347C4D">
      <w:pPr>
        <w:rPr>
          <w:b/>
          <w:bCs/>
        </w:rPr>
      </w:pPr>
      <w:r w:rsidRPr="00961A91">
        <w:rPr>
          <w:b/>
          <w:bCs/>
        </w:rPr>
        <w:t>For single-parent case with a single MAC scheduler at the parent DU, if IAB-MT is configured with DCI</w:t>
      </w:r>
      <w:r>
        <w:rPr>
          <w:b/>
          <w:bCs/>
        </w:rPr>
        <w:t xml:space="preserve"> </w:t>
      </w:r>
      <w:r w:rsidRPr="00961A91">
        <w:rPr>
          <w:b/>
          <w:bCs/>
        </w:rPr>
        <w:t>2_5 from multiple serving cells, the received multiple DCI</w:t>
      </w:r>
      <w:r>
        <w:rPr>
          <w:b/>
          <w:bCs/>
        </w:rPr>
        <w:t xml:space="preserve"> </w:t>
      </w:r>
      <w:r w:rsidRPr="00961A91">
        <w:rPr>
          <w:b/>
          <w:bCs/>
        </w:rPr>
        <w:t xml:space="preserve">2_5s </w:t>
      </w:r>
      <w:r>
        <w:rPr>
          <w:b/>
          <w:bCs/>
        </w:rPr>
        <w:t>are expected to be</w:t>
      </w:r>
      <w:r w:rsidRPr="00961A91">
        <w:rPr>
          <w:b/>
          <w:bCs/>
        </w:rPr>
        <w:t xml:space="preserve"> consistent with each other</w:t>
      </w:r>
      <w:r>
        <w:rPr>
          <w:b/>
          <w:bCs/>
        </w:rPr>
        <w:t>.</w:t>
      </w:r>
    </w:p>
    <w:p w14:paraId="10A0151F" w14:textId="77777777" w:rsidR="00347C4D" w:rsidRDefault="00347C4D" w:rsidP="00347C4D">
      <w:r>
        <w:rPr>
          <w:b/>
          <w:bCs/>
          <w:u w:val="single"/>
          <w:lang w:eastAsia="zh-CN"/>
        </w:rPr>
        <w:t>Observation 3.5</w:t>
      </w:r>
      <w:r w:rsidRPr="00D24022">
        <w:rPr>
          <w:b/>
          <w:bCs/>
          <w:u w:val="single"/>
          <w:lang w:eastAsia="zh-CN"/>
        </w:rPr>
        <w:t>:</w:t>
      </w:r>
    </w:p>
    <w:p w14:paraId="6856F637" w14:textId="77777777" w:rsidR="00347C4D" w:rsidRDefault="00347C4D" w:rsidP="00347C4D">
      <w:pPr>
        <w:rPr>
          <w:b/>
          <w:bCs/>
        </w:rPr>
      </w:pPr>
      <w:r w:rsidRPr="00D97D86">
        <w:rPr>
          <w:b/>
          <w:bCs/>
        </w:rPr>
        <w:t>For multi-parent case with separate MAC schedulers at two parent DUs, the usage of a soft resource at an IAB-DU cell shall depend on explicit and/or implicit control of both parent DUs.</w:t>
      </w:r>
    </w:p>
    <w:p w14:paraId="6B307F68" w14:textId="77777777" w:rsidR="00347C4D" w:rsidRDefault="00347C4D" w:rsidP="00347C4D">
      <w:r>
        <w:t xml:space="preserve">We propose to extend the Rel-16 rules defined in TS38.213 for soft resource management in single-parent case to multi-parent case as follows. Note that </w:t>
      </w:r>
      <w:r w:rsidRPr="00CA5C8C">
        <w:rPr>
          <w:lang w:val="en-US"/>
        </w:rPr>
        <w:t>TDM-not-required capability for a MT-DU cell pair i</w:t>
      </w:r>
      <w:r>
        <w:rPr>
          <w:lang w:val="en-US"/>
        </w:rPr>
        <w:t>mplies</w:t>
      </w:r>
      <w:r w:rsidRPr="00CA5C8C">
        <w:rPr>
          <w:lang w:val="en-US"/>
        </w:rPr>
        <w:t xml:space="preserve"> an implicit determination</w:t>
      </w:r>
      <w:r>
        <w:rPr>
          <w:lang w:val="en-US"/>
        </w:rPr>
        <w:t xml:space="preserve"> of availability</w:t>
      </w:r>
      <w:r>
        <w:rPr>
          <w:b/>
          <w:bCs/>
          <w:lang w:val="en-US"/>
        </w:rPr>
        <w:t>.</w:t>
      </w:r>
    </w:p>
    <w:p w14:paraId="3E94BA68" w14:textId="77777777" w:rsidR="00347C4D" w:rsidRDefault="00347C4D" w:rsidP="00347C4D">
      <w:r>
        <w:rPr>
          <w:b/>
          <w:bCs/>
          <w:u w:val="single"/>
          <w:lang w:eastAsia="zh-CN"/>
        </w:rPr>
        <w:t>Proposal 3.2</w:t>
      </w:r>
      <w:r w:rsidRPr="00D24022">
        <w:rPr>
          <w:b/>
          <w:bCs/>
          <w:u w:val="single"/>
          <w:lang w:eastAsia="zh-CN"/>
        </w:rPr>
        <w:t>:</w:t>
      </w:r>
    </w:p>
    <w:p w14:paraId="6AC00AE9" w14:textId="77777777" w:rsidR="00347C4D" w:rsidRDefault="00347C4D" w:rsidP="00347C4D">
      <w:pPr>
        <w:rPr>
          <w:b/>
          <w:bCs/>
          <w:lang w:val="en-US"/>
        </w:rPr>
      </w:pPr>
      <w:r w:rsidRPr="0085324B">
        <w:rPr>
          <w:b/>
          <w:bCs/>
          <w:lang w:val="en-US"/>
        </w:rPr>
        <w:t>For an IAB-node with dual-parents, an IAB-DU cell can use a soft resource if</w:t>
      </w:r>
    </w:p>
    <w:p w14:paraId="646F7265" w14:textId="77777777" w:rsidR="00347C4D" w:rsidRDefault="00347C4D" w:rsidP="00347C4D">
      <w:pPr>
        <w:pStyle w:val="ListParagraph"/>
        <w:numPr>
          <w:ilvl w:val="0"/>
          <w:numId w:val="36"/>
        </w:numPr>
        <w:rPr>
          <w:b/>
          <w:bCs/>
          <w:lang w:val="en-US"/>
        </w:rPr>
      </w:pPr>
      <w:r w:rsidRPr="0085324B">
        <w:rPr>
          <w:b/>
          <w:bCs/>
          <w:lang w:val="en-US"/>
        </w:rPr>
        <w:t>Explicit indications of availability are received from both parent</w:t>
      </w:r>
      <w:r>
        <w:rPr>
          <w:b/>
          <w:bCs/>
          <w:lang w:val="en-US"/>
        </w:rPr>
        <w:t>s</w:t>
      </w:r>
      <w:r w:rsidRPr="0085324B">
        <w:rPr>
          <w:b/>
          <w:bCs/>
          <w:lang w:val="en-US"/>
        </w:rPr>
        <w:t>.</w:t>
      </w:r>
    </w:p>
    <w:p w14:paraId="22848028" w14:textId="77777777" w:rsidR="00347C4D" w:rsidRDefault="00347C4D" w:rsidP="00347C4D">
      <w:pPr>
        <w:pStyle w:val="ListParagraph"/>
        <w:numPr>
          <w:ilvl w:val="0"/>
          <w:numId w:val="36"/>
        </w:numPr>
        <w:rPr>
          <w:b/>
          <w:bCs/>
          <w:lang w:val="en-US"/>
        </w:rPr>
      </w:pPr>
      <w:r w:rsidRPr="006E3DA4">
        <w:rPr>
          <w:b/>
          <w:bCs/>
          <w:lang w:val="en-US"/>
        </w:rPr>
        <w:t>Or explicit indication of availability is received from 1</w:t>
      </w:r>
      <w:r w:rsidRPr="006E3DA4">
        <w:rPr>
          <w:b/>
          <w:bCs/>
          <w:vertAlign w:val="superscript"/>
          <w:lang w:val="en-US"/>
        </w:rPr>
        <w:t>st</w:t>
      </w:r>
      <w:r w:rsidRPr="006E3DA4">
        <w:rPr>
          <w:b/>
          <w:bCs/>
          <w:lang w:val="en-US"/>
        </w:rPr>
        <w:t xml:space="preserve"> parent, and implicit determination is made on 2</w:t>
      </w:r>
      <w:r w:rsidRPr="006E3DA4">
        <w:rPr>
          <w:b/>
          <w:bCs/>
          <w:vertAlign w:val="superscript"/>
          <w:lang w:val="en-US"/>
        </w:rPr>
        <w:t>nd</w:t>
      </w:r>
      <w:r w:rsidRPr="006E3DA4">
        <w:rPr>
          <w:b/>
          <w:bCs/>
          <w:lang w:val="en-US"/>
        </w:rPr>
        <w:t xml:space="preserve"> parent so that </w:t>
      </w:r>
    </w:p>
    <w:p w14:paraId="503554D9" w14:textId="77777777" w:rsidR="00347C4D" w:rsidRDefault="00347C4D" w:rsidP="00347C4D">
      <w:pPr>
        <w:pStyle w:val="ListParagraph"/>
        <w:numPr>
          <w:ilvl w:val="1"/>
          <w:numId w:val="36"/>
        </w:numPr>
        <w:rPr>
          <w:b/>
          <w:bCs/>
          <w:lang w:val="en-US"/>
        </w:rPr>
      </w:pPr>
      <w:r w:rsidRPr="006E3DA4">
        <w:rPr>
          <w:b/>
          <w:bCs/>
          <w:lang w:val="en-US"/>
        </w:rPr>
        <w:t>Either IAB-MT will not do TX/RX with 2</w:t>
      </w:r>
      <w:r w:rsidRPr="006E3DA4">
        <w:rPr>
          <w:b/>
          <w:bCs/>
          <w:vertAlign w:val="superscript"/>
          <w:lang w:val="en-US"/>
        </w:rPr>
        <w:t>nd</w:t>
      </w:r>
      <w:r w:rsidRPr="006E3DA4">
        <w:rPr>
          <w:b/>
          <w:bCs/>
          <w:lang w:val="en-US"/>
        </w:rPr>
        <w:t xml:space="preserve"> parent</w:t>
      </w:r>
    </w:p>
    <w:p w14:paraId="2904EC43" w14:textId="77777777" w:rsidR="00347C4D" w:rsidRPr="006E3DA4" w:rsidRDefault="00347C4D" w:rsidP="00347C4D">
      <w:pPr>
        <w:pStyle w:val="ListParagraph"/>
        <w:numPr>
          <w:ilvl w:val="1"/>
          <w:numId w:val="36"/>
        </w:numPr>
        <w:rPr>
          <w:b/>
          <w:bCs/>
          <w:lang w:val="en-US"/>
        </w:rPr>
      </w:pPr>
      <w:r w:rsidRPr="006E3DA4">
        <w:rPr>
          <w:b/>
          <w:bCs/>
          <w:lang w:val="en-US"/>
        </w:rPr>
        <w:t>Or the IAB-DU cell’s use of the soft resource will not impact the IAB-MT’s TX or RX with 2</w:t>
      </w:r>
      <w:r w:rsidRPr="006E3DA4">
        <w:rPr>
          <w:b/>
          <w:bCs/>
          <w:vertAlign w:val="superscript"/>
          <w:lang w:val="en-US"/>
        </w:rPr>
        <w:t>nd</w:t>
      </w:r>
      <w:r w:rsidRPr="006E3DA4">
        <w:rPr>
          <w:b/>
          <w:bCs/>
          <w:lang w:val="en-US"/>
        </w:rPr>
        <w:t xml:space="preserve"> parent. </w:t>
      </w:r>
    </w:p>
    <w:p w14:paraId="3CE8A19A" w14:textId="77777777" w:rsidR="00347C4D" w:rsidRDefault="00347C4D" w:rsidP="00347C4D">
      <w:pPr>
        <w:pStyle w:val="ListParagraph"/>
        <w:numPr>
          <w:ilvl w:val="0"/>
          <w:numId w:val="36"/>
        </w:numPr>
        <w:rPr>
          <w:b/>
          <w:bCs/>
          <w:lang w:val="en-US"/>
        </w:rPr>
      </w:pPr>
      <w:r w:rsidRPr="000F313B">
        <w:rPr>
          <w:b/>
          <w:bCs/>
          <w:lang w:val="en-US"/>
        </w:rPr>
        <w:t>Or implicit determination is made on both parent nodes so that</w:t>
      </w:r>
    </w:p>
    <w:p w14:paraId="438C73ED" w14:textId="77777777" w:rsidR="00347C4D" w:rsidRDefault="00347C4D" w:rsidP="00347C4D">
      <w:pPr>
        <w:pStyle w:val="ListParagraph"/>
        <w:numPr>
          <w:ilvl w:val="1"/>
          <w:numId w:val="36"/>
        </w:numPr>
        <w:rPr>
          <w:b/>
          <w:bCs/>
          <w:lang w:val="en-US"/>
        </w:rPr>
      </w:pPr>
      <w:r w:rsidRPr="000F313B">
        <w:rPr>
          <w:b/>
          <w:bCs/>
          <w:lang w:val="en-US"/>
        </w:rPr>
        <w:t>Either IAB-MT will not do TX/RX with both parent nodes</w:t>
      </w:r>
    </w:p>
    <w:p w14:paraId="7E4822E9" w14:textId="77777777" w:rsidR="00347C4D" w:rsidRDefault="00347C4D" w:rsidP="00347C4D">
      <w:pPr>
        <w:pStyle w:val="ListParagraph"/>
        <w:numPr>
          <w:ilvl w:val="1"/>
          <w:numId w:val="36"/>
        </w:numPr>
        <w:rPr>
          <w:b/>
          <w:bCs/>
          <w:lang w:val="en-US"/>
        </w:rPr>
      </w:pPr>
      <w:r w:rsidRPr="007B1488">
        <w:rPr>
          <w:b/>
          <w:bCs/>
          <w:lang w:val="en-US"/>
        </w:rPr>
        <w:t xml:space="preserve">Or the IAB-DU cell’s use of the soft resource will not impact the IAB-MT’s TX or RX with both parent nodes. </w:t>
      </w:r>
    </w:p>
    <w:p w14:paraId="3070405A" w14:textId="77777777" w:rsidR="00347C4D" w:rsidRDefault="00347C4D" w:rsidP="00347C4D">
      <w:pPr>
        <w:pStyle w:val="ListParagraph"/>
        <w:numPr>
          <w:ilvl w:val="1"/>
          <w:numId w:val="36"/>
        </w:numPr>
        <w:rPr>
          <w:b/>
          <w:bCs/>
          <w:lang w:val="en-US"/>
        </w:rPr>
      </w:pPr>
      <w:r w:rsidRPr="007B1488">
        <w:rPr>
          <w:b/>
          <w:bCs/>
          <w:lang w:val="en-US"/>
        </w:rPr>
        <w:t>Or IAB-MT will not do TX/RX with one parent node, and the IAB-DU cell’s use of the soft resource will not impact IAB-MT’s TX or RX with the other parent node.</w:t>
      </w:r>
    </w:p>
    <w:p w14:paraId="5D619256" w14:textId="77777777" w:rsidR="00347C4D" w:rsidRPr="001C1151" w:rsidRDefault="00347C4D" w:rsidP="00347C4D">
      <w:pPr>
        <w:rPr>
          <w:lang w:val="en-US"/>
        </w:rPr>
      </w:pPr>
      <w:r>
        <w:rPr>
          <w:lang w:val="en-US"/>
        </w:rPr>
        <w:t>For a special case that an dual-connected IAB-MT operates with 2 bands, band1 with 1</w:t>
      </w:r>
      <w:r w:rsidRPr="00005DB1">
        <w:rPr>
          <w:vertAlign w:val="superscript"/>
          <w:lang w:val="en-US"/>
        </w:rPr>
        <w:t>st</w:t>
      </w:r>
      <w:r>
        <w:rPr>
          <w:lang w:val="en-US"/>
        </w:rPr>
        <w:t xml:space="preserve"> parent node and band2 with 2</w:t>
      </w:r>
      <w:r w:rsidRPr="00005DB1">
        <w:rPr>
          <w:vertAlign w:val="superscript"/>
          <w:lang w:val="en-US"/>
        </w:rPr>
        <w:t>nd</w:t>
      </w:r>
      <w:r>
        <w:rPr>
          <w:lang w:val="en-US"/>
        </w:rPr>
        <w:t xml:space="preserve"> parent node, while the co-located IAB-DU operates with the same band1 as the 1</w:t>
      </w:r>
      <w:r w:rsidRPr="005B42B3">
        <w:rPr>
          <w:vertAlign w:val="superscript"/>
          <w:lang w:val="en-US"/>
        </w:rPr>
        <w:t>st</w:t>
      </w:r>
      <w:r>
        <w:rPr>
          <w:lang w:val="en-US"/>
        </w:rPr>
        <w:t xml:space="preserve"> parent node, the IAB-node may report a duplexing capability of TDM-required for a (MT cell with parent1, DU cell) pair, and a duplexing capability of TDM-not-required for a (MT cell with parent2, DU cell) pair. In this case, an explicit indication is only needed from parent1 and an implicit determination for a soft resource with respective to parent2 should be always available.      </w:t>
      </w:r>
    </w:p>
    <w:p w14:paraId="0337DEB0" w14:textId="77777777" w:rsidR="00347C4D" w:rsidRDefault="00347C4D" w:rsidP="00347C4D">
      <w:pPr>
        <w:pStyle w:val="Heading2"/>
      </w:pPr>
      <w:r>
        <w:t>Conclusion</w:t>
      </w:r>
    </w:p>
    <w:p w14:paraId="1166B991" w14:textId="77777777" w:rsidR="00347C4D" w:rsidRDefault="00347C4D" w:rsidP="00347C4D">
      <w:r>
        <w:t>This contribution provided our view on the IAB resource management framework in the context of the Rel-17 IAB WID . The following observations and proposals were made:</w:t>
      </w:r>
    </w:p>
    <w:p w14:paraId="2CE9A8ED" w14:textId="77777777" w:rsidR="00347C4D" w:rsidRDefault="00347C4D" w:rsidP="00347C4D">
      <w:pPr>
        <w:rPr>
          <w:b/>
          <w:bCs/>
          <w:u w:val="single"/>
          <w:lang w:eastAsia="zh-CN"/>
        </w:rPr>
      </w:pPr>
      <w:r w:rsidRPr="00D24022">
        <w:rPr>
          <w:b/>
          <w:bCs/>
          <w:u w:val="single"/>
          <w:lang w:eastAsia="zh-CN"/>
        </w:rPr>
        <w:t>Observation</w:t>
      </w:r>
      <w:r>
        <w:rPr>
          <w:b/>
          <w:bCs/>
          <w:u w:val="single"/>
          <w:lang w:eastAsia="zh-CN"/>
        </w:rPr>
        <w:t xml:space="preserve"> 2.</w:t>
      </w:r>
      <w:r w:rsidRPr="00D24022">
        <w:rPr>
          <w:b/>
          <w:bCs/>
          <w:u w:val="single"/>
          <w:lang w:eastAsia="zh-CN"/>
        </w:rPr>
        <w:t>1:</w:t>
      </w:r>
    </w:p>
    <w:p w14:paraId="1B024DE3" w14:textId="77777777" w:rsidR="00347C4D" w:rsidRDefault="00347C4D" w:rsidP="00347C4D">
      <w:pPr>
        <w:spacing w:after="0"/>
        <w:rPr>
          <w:b/>
          <w:bCs/>
          <w:lang w:val="en-US"/>
        </w:rPr>
      </w:pPr>
      <w:r w:rsidRPr="008F06F9">
        <w:rPr>
          <w:b/>
          <w:bCs/>
          <w:lang w:val="en-US"/>
        </w:rPr>
        <w:t>Slot-</w:t>
      </w:r>
      <w:r>
        <w:rPr>
          <w:b/>
          <w:bCs/>
          <w:lang w:val="en-US"/>
        </w:rPr>
        <w:t>s</w:t>
      </w:r>
      <w:r w:rsidRPr="008F06F9">
        <w:rPr>
          <w:b/>
          <w:bCs/>
          <w:lang w:val="en-US"/>
        </w:rPr>
        <w:t xml:space="preserve">pecific FDM </w:t>
      </w:r>
      <w:r>
        <w:rPr>
          <w:b/>
          <w:bCs/>
          <w:lang w:val="en-US"/>
        </w:rPr>
        <w:t>within a CC</w:t>
      </w:r>
      <w:r w:rsidRPr="008F06F9">
        <w:rPr>
          <w:b/>
          <w:bCs/>
          <w:lang w:val="en-US"/>
        </w:rPr>
        <w:t xml:space="preserve"> provides latency benefit and scheduling flexibility (e.g. more opportunities for DL/UL control signaling) over TDM within </w:t>
      </w:r>
      <w:r>
        <w:rPr>
          <w:b/>
          <w:bCs/>
          <w:lang w:val="en-US"/>
        </w:rPr>
        <w:t xml:space="preserve">a </w:t>
      </w:r>
      <w:r w:rsidRPr="008F06F9">
        <w:rPr>
          <w:b/>
          <w:bCs/>
          <w:lang w:val="en-US"/>
        </w:rPr>
        <w:t xml:space="preserve">CC (as shown in Fig.1), and at the same time achieves better resource efficiency over FDM </w:t>
      </w:r>
      <w:r>
        <w:rPr>
          <w:b/>
          <w:bCs/>
          <w:lang w:val="en-US"/>
        </w:rPr>
        <w:t>a</w:t>
      </w:r>
      <w:r w:rsidRPr="008F06F9">
        <w:rPr>
          <w:b/>
          <w:bCs/>
          <w:lang w:val="en-US"/>
        </w:rPr>
        <w:t>cross CC</w:t>
      </w:r>
      <w:r>
        <w:rPr>
          <w:b/>
          <w:bCs/>
          <w:lang w:val="en-US"/>
        </w:rPr>
        <w:t>s</w:t>
      </w:r>
      <w:r w:rsidRPr="008F06F9">
        <w:rPr>
          <w:b/>
          <w:bCs/>
          <w:lang w:val="en-US"/>
        </w:rPr>
        <w:t>, especially for FR2 with large channel BW</w:t>
      </w:r>
      <w:r>
        <w:rPr>
          <w:b/>
          <w:bCs/>
          <w:lang w:val="en-US"/>
        </w:rPr>
        <w:t>.</w:t>
      </w:r>
    </w:p>
    <w:p w14:paraId="4272C360" w14:textId="77777777" w:rsidR="00347C4D" w:rsidRDefault="00347C4D" w:rsidP="00347C4D">
      <w:pPr>
        <w:pStyle w:val="ListParagraph"/>
        <w:numPr>
          <w:ilvl w:val="0"/>
          <w:numId w:val="32"/>
        </w:numPr>
        <w:spacing w:after="0"/>
        <w:rPr>
          <w:b/>
          <w:bCs/>
          <w:lang w:val="en-US"/>
        </w:rPr>
      </w:pPr>
      <w:r w:rsidRPr="001850EE">
        <w:rPr>
          <w:b/>
          <w:bCs/>
          <w:lang w:val="en-US"/>
        </w:rPr>
        <w:t xml:space="preserve">Slot-specific FDM cannot be achieved by Rel15 </w:t>
      </w:r>
      <w:r>
        <w:rPr>
          <w:b/>
          <w:bCs/>
          <w:lang w:val="en-US"/>
        </w:rPr>
        <w:t xml:space="preserve">UE-specific </w:t>
      </w:r>
      <w:r w:rsidRPr="001850EE">
        <w:rPr>
          <w:b/>
          <w:bCs/>
          <w:lang w:val="en-US"/>
        </w:rPr>
        <w:t>BWP framework.</w:t>
      </w:r>
    </w:p>
    <w:p w14:paraId="47BDFF69" w14:textId="77777777" w:rsidR="00347C4D" w:rsidRPr="005E6E7B" w:rsidRDefault="00347C4D" w:rsidP="00347C4D">
      <w:pPr>
        <w:pStyle w:val="ListParagraph"/>
        <w:numPr>
          <w:ilvl w:val="0"/>
          <w:numId w:val="32"/>
        </w:numPr>
      </w:pPr>
      <w:r w:rsidRPr="00E7284D">
        <w:rPr>
          <w:b/>
          <w:bCs/>
          <w:lang w:val="en-US"/>
        </w:rPr>
        <w:t>Comparing with a signaling approach providing a cell-specific bandwidth partition for FDM, Rel15 UE-specific BWP framework can have larger signaling overhead.</w:t>
      </w:r>
    </w:p>
    <w:p w14:paraId="5EFC2833" w14:textId="77777777" w:rsidR="00347C4D" w:rsidRDefault="00347C4D" w:rsidP="00347C4D">
      <w:pPr>
        <w:pStyle w:val="ListParagraph"/>
        <w:rPr>
          <w:b/>
          <w:bCs/>
          <w:u w:val="single"/>
          <w:lang w:eastAsia="zh-CN"/>
        </w:rPr>
      </w:pPr>
    </w:p>
    <w:p w14:paraId="0A9F0A31" w14:textId="77777777" w:rsidR="00347C4D" w:rsidRPr="005E6E7B" w:rsidRDefault="00347C4D" w:rsidP="00347C4D">
      <w:pPr>
        <w:rPr>
          <w:b/>
          <w:bCs/>
          <w:u w:val="single"/>
          <w:lang w:eastAsia="zh-CN"/>
        </w:rPr>
      </w:pPr>
      <w:r w:rsidRPr="005E6E7B">
        <w:rPr>
          <w:b/>
          <w:bCs/>
          <w:u w:val="single"/>
          <w:lang w:eastAsia="zh-CN"/>
        </w:rPr>
        <w:t>Observation 2.2:</w:t>
      </w:r>
    </w:p>
    <w:p w14:paraId="1256AF3A" w14:textId="77777777" w:rsidR="00347C4D" w:rsidRDefault="00347C4D" w:rsidP="00347C4D">
      <w:pPr>
        <w:rPr>
          <w:b/>
          <w:bCs/>
          <w:lang w:val="en-US"/>
        </w:rPr>
      </w:pPr>
      <w:r w:rsidRPr="00D00D4F">
        <w:rPr>
          <w:b/>
          <w:bCs/>
        </w:rPr>
        <w:lastRenderedPageBreak/>
        <w:t xml:space="preserve">Any concerns on control </w:t>
      </w:r>
      <w:r>
        <w:rPr>
          <w:b/>
          <w:bCs/>
        </w:rPr>
        <w:t>signaling</w:t>
      </w:r>
      <w:r w:rsidRPr="00D00D4F">
        <w:rPr>
          <w:b/>
          <w:bCs/>
        </w:rPr>
        <w:t xml:space="preserve"> for a slot-specific FDM scheme </w:t>
      </w:r>
      <w:r>
        <w:rPr>
          <w:b/>
          <w:bCs/>
        </w:rPr>
        <w:t>within a CC</w:t>
      </w:r>
      <w:r w:rsidRPr="00D00D4F">
        <w:rPr>
          <w:b/>
          <w:bCs/>
        </w:rPr>
        <w:t xml:space="preserve"> equally apply for a TDM scheme with control </w:t>
      </w:r>
      <w:r>
        <w:rPr>
          <w:b/>
          <w:bCs/>
        </w:rPr>
        <w:t>signaling</w:t>
      </w:r>
      <w:r w:rsidRPr="00D00D4F">
        <w:rPr>
          <w:b/>
          <w:bCs/>
        </w:rPr>
        <w:t xml:space="preserve"> falling into “NA” resources</w:t>
      </w:r>
      <w:r w:rsidRPr="00D00D4F">
        <w:rPr>
          <w:b/>
          <w:bCs/>
          <w:lang w:val="en-US"/>
        </w:rPr>
        <w:t>. Similar solutions adopted for the TDM case can be applied for the FDM case.</w:t>
      </w:r>
    </w:p>
    <w:p w14:paraId="228D0B1B" w14:textId="77777777" w:rsidR="00347C4D" w:rsidRDefault="00347C4D" w:rsidP="00347C4D">
      <w:pPr>
        <w:rPr>
          <w:b/>
          <w:bCs/>
          <w:u w:val="single"/>
          <w:lang w:eastAsia="zh-CN"/>
        </w:rPr>
      </w:pPr>
      <w:r w:rsidRPr="00D24022">
        <w:rPr>
          <w:b/>
          <w:bCs/>
          <w:u w:val="single"/>
          <w:lang w:eastAsia="zh-CN"/>
        </w:rPr>
        <w:t>Observation</w:t>
      </w:r>
      <w:r>
        <w:rPr>
          <w:b/>
          <w:bCs/>
          <w:u w:val="single"/>
          <w:lang w:eastAsia="zh-CN"/>
        </w:rPr>
        <w:t xml:space="preserve"> 2.3</w:t>
      </w:r>
      <w:r w:rsidRPr="00D24022">
        <w:rPr>
          <w:b/>
          <w:bCs/>
          <w:u w:val="single"/>
          <w:lang w:eastAsia="zh-CN"/>
        </w:rPr>
        <w:t>:</w:t>
      </w:r>
    </w:p>
    <w:p w14:paraId="17EFC5C8" w14:textId="77777777" w:rsidR="00347C4D" w:rsidRDefault="00347C4D" w:rsidP="00347C4D">
      <w:pPr>
        <w:rPr>
          <w:b/>
          <w:bCs/>
        </w:rPr>
      </w:pPr>
      <w:r w:rsidRPr="00921ADF">
        <w:rPr>
          <w:b/>
          <w:bCs/>
        </w:rPr>
        <w:t xml:space="preserve">FDM </w:t>
      </w:r>
      <w:r>
        <w:rPr>
          <w:b/>
          <w:bCs/>
        </w:rPr>
        <w:t>within a CC</w:t>
      </w:r>
      <w:r w:rsidRPr="00921ADF">
        <w:rPr>
          <w:b/>
          <w:bCs/>
        </w:rPr>
        <w:t xml:space="preserve"> can be achieved by extending </w:t>
      </w:r>
      <w:r>
        <w:rPr>
          <w:b/>
          <w:bCs/>
        </w:rPr>
        <w:t>Rel-16</w:t>
      </w:r>
      <w:r w:rsidRPr="00921ADF">
        <w:rPr>
          <w:b/>
          <w:bCs/>
        </w:rPr>
        <w:t xml:space="preserve"> “</w:t>
      </w:r>
      <w:r w:rsidRPr="003D6140">
        <w:rPr>
          <w:b/>
          <w:bCs/>
          <w:i/>
          <w:iCs/>
        </w:rPr>
        <w:t>gNB-DU cell resource configuration</w:t>
      </w:r>
      <w:r w:rsidRPr="00921ADF">
        <w:rPr>
          <w:b/>
          <w:bCs/>
        </w:rPr>
        <w:t>” IE defined in TS38.473 so that HSNA Slot configuration List may contain more than one HSNA slot Configuration items, each associated with one RB Set</w:t>
      </w:r>
      <w:r>
        <w:rPr>
          <w:b/>
          <w:bCs/>
        </w:rPr>
        <w:t>.</w:t>
      </w:r>
    </w:p>
    <w:p w14:paraId="64833B42" w14:textId="77777777" w:rsidR="00347C4D" w:rsidRDefault="00347C4D" w:rsidP="00347C4D">
      <w:pPr>
        <w:rPr>
          <w:b/>
          <w:bCs/>
          <w:u w:val="single"/>
          <w:lang w:eastAsia="zh-CN"/>
        </w:rPr>
      </w:pPr>
      <w:r>
        <w:rPr>
          <w:b/>
          <w:bCs/>
          <w:u w:val="single"/>
          <w:lang w:eastAsia="zh-CN"/>
        </w:rPr>
        <w:t>Proposal 2.1</w:t>
      </w:r>
      <w:r w:rsidRPr="00D24022">
        <w:rPr>
          <w:b/>
          <w:bCs/>
          <w:u w:val="single"/>
          <w:lang w:eastAsia="zh-CN"/>
        </w:rPr>
        <w:t>:</w:t>
      </w:r>
    </w:p>
    <w:p w14:paraId="19853642" w14:textId="77777777" w:rsidR="00347C4D" w:rsidRDefault="00347C4D" w:rsidP="00347C4D">
      <w:pPr>
        <w:rPr>
          <w:b/>
          <w:bCs/>
          <w:lang w:val="en-US"/>
        </w:rPr>
      </w:pPr>
      <w:r w:rsidRPr="00D31D8F">
        <w:rPr>
          <w:b/>
          <w:bCs/>
          <w:lang w:val="en-US"/>
        </w:rPr>
        <w:t>Support FDM within</w:t>
      </w:r>
      <w:r>
        <w:rPr>
          <w:b/>
          <w:bCs/>
          <w:lang w:val="en-US"/>
        </w:rPr>
        <w:t xml:space="preserve"> a</w:t>
      </w:r>
      <w:r w:rsidRPr="00D31D8F">
        <w:rPr>
          <w:b/>
          <w:bCs/>
          <w:lang w:val="en-US"/>
        </w:rPr>
        <w:t xml:space="preserve"> CC with H</w:t>
      </w:r>
      <w:r>
        <w:rPr>
          <w:b/>
          <w:bCs/>
          <w:lang w:val="en-US"/>
        </w:rPr>
        <w:t>/</w:t>
      </w:r>
      <w:r w:rsidRPr="00D31D8F">
        <w:rPr>
          <w:b/>
          <w:bCs/>
          <w:lang w:val="en-US"/>
        </w:rPr>
        <w:t>S</w:t>
      </w:r>
      <w:r>
        <w:rPr>
          <w:b/>
          <w:bCs/>
          <w:lang w:val="en-US"/>
        </w:rPr>
        <w:t>/</w:t>
      </w:r>
      <w:r w:rsidRPr="00D31D8F">
        <w:rPr>
          <w:b/>
          <w:bCs/>
          <w:lang w:val="en-US"/>
        </w:rPr>
        <w:t>NA configuration per RB set, where an RB set is a number of consecutive PRBs.</w:t>
      </w:r>
    </w:p>
    <w:p w14:paraId="267F4F4E" w14:textId="77777777" w:rsidR="00347C4D" w:rsidRDefault="00347C4D" w:rsidP="00347C4D">
      <w:pPr>
        <w:pStyle w:val="ListParagraph"/>
        <w:numPr>
          <w:ilvl w:val="0"/>
          <w:numId w:val="33"/>
        </w:numPr>
        <w:rPr>
          <w:b/>
          <w:bCs/>
          <w:lang w:val="en-US"/>
        </w:rPr>
      </w:pPr>
      <w:r w:rsidRPr="00D31D8F">
        <w:rPr>
          <w:b/>
          <w:bCs/>
          <w:lang w:val="en-US"/>
        </w:rPr>
        <w:t>FFS: de</w:t>
      </w:r>
      <w:r>
        <w:rPr>
          <w:b/>
          <w:bCs/>
          <w:lang w:val="en-US"/>
        </w:rPr>
        <w:t>tailed definition of</w:t>
      </w:r>
      <w:r w:rsidRPr="00D31D8F">
        <w:rPr>
          <w:b/>
          <w:bCs/>
          <w:lang w:val="en-US"/>
        </w:rPr>
        <w:t xml:space="preserve"> an RB set as (starting PRB, number of PRBs)</w:t>
      </w:r>
      <w:r>
        <w:rPr>
          <w:b/>
          <w:bCs/>
          <w:lang w:val="en-US"/>
        </w:rPr>
        <w:t>.</w:t>
      </w:r>
    </w:p>
    <w:p w14:paraId="7D122831" w14:textId="77777777" w:rsidR="00347C4D" w:rsidRDefault="00347C4D" w:rsidP="00347C4D">
      <w:pPr>
        <w:pStyle w:val="ListParagraph"/>
        <w:numPr>
          <w:ilvl w:val="0"/>
          <w:numId w:val="33"/>
        </w:numPr>
        <w:rPr>
          <w:b/>
          <w:bCs/>
          <w:lang w:val="en-US"/>
        </w:rPr>
      </w:pPr>
      <w:r w:rsidRPr="00D31D8F">
        <w:rPr>
          <w:b/>
          <w:bCs/>
          <w:lang w:val="en-US"/>
        </w:rPr>
        <w:t>FFS: max number of RB sets.</w:t>
      </w:r>
    </w:p>
    <w:p w14:paraId="3C9CDD3B" w14:textId="77777777" w:rsidR="00347C4D" w:rsidRDefault="00347C4D" w:rsidP="00347C4D">
      <w:pPr>
        <w:pStyle w:val="ListParagraph"/>
        <w:numPr>
          <w:ilvl w:val="0"/>
          <w:numId w:val="33"/>
        </w:numPr>
        <w:rPr>
          <w:b/>
          <w:bCs/>
          <w:lang w:val="en-US"/>
        </w:rPr>
      </w:pPr>
      <w:r w:rsidRPr="00D00D4F">
        <w:rPr>
          <w:b/>
          <w:bCs/>
          <w:lang w:val="en-US"/>
        </w:rPr>
        <w:t>FFS: the minimum size of an RB set, e.g. a table of minimum sizes depending on carrier BW.</w:t>
      </w:r>
    </w:p>
    <w:p w14:paraId="68DFFCF8" w14:textId="77777777" w:rsidR="00347C4D" w:rsidRPr="00BE5A56" w:rsidRDefault="00347C4D" w:rsidP="00347C4D">
      <w:pPr>
        <w:rPr>
          <w:b/>
          <w:bCs/>
          <w:u w:val="single"/>
          <w:lang w:eastAsia="zh-CN"/>
        </w:rPr>
      </w:pPr>
      <w:r w:rsidRPr="00BE5A56">
        <w:rPr>
          <w:b/>
          <w:bCs/>
          <w:u w:val="single"/>
          <w:lang w:eastAsia="zh-CN"/>
        </w:rPr>
        <w:t>Observation 2.4:</w:t>
      </w:r>
    </w:p>
    <w:p w14:paraId="73F89C71" w14:textId="77777777" w:rsidR="00347C4D" w:rsidRPr="00BE5A56" w:rsidRDefault="00347C4D" w:rsidP="00347C4D">
      <w:pPr>
        <w:rPr>
          <w:b/>
          <w:bCs/>
          <w:lang w:val="en-US"/>
        </w:rPr>
      </w:pPr>
      <w:r w:rsidRPr="00BE5A56">
        <w:rPr>
          <w:b/>
          <w:bCs/>
          <w:lang w:val="en-US"/>
        </w:rPr>
        <w:t xml:space="preserve">Allowing for dynamic coordination of soft resources in frequency-domain can be beneficial to achieve higher resource utilization.  </w:t>
      </w:r>
    </w:p>
    <w:p w14:paraId="23969FE7" w14:textId="77777777" w:rsidR="00347C4D" w:rsidRDefault="00347C4D" w:rsidP="00347C4D">
      <w:pPr>
        <w:pStyle w:val="ListParagraph"/>
        <w:numPr>
          <w:ilvl w:val="0"/>
          <w:numId w:val="36"/>
        </w:numPr>
        <w:overflowPunct/>
        <w:autoSpaceDE/>
        <w:autoSpaceDN/>
        <w:adjustRightInd/>
        <w:spacing w:after="0"/>
        <w:textAlignment w:val="auto"/>
        <w:rPr>
          <w:b/>
          <w:bCs/>
          <w:lang w:val="en-US"/>
        </w:rPr>
      </w:pPr>
      <w:r w:rsidRPr="00BE5A56">
        <w:rPr>
          <w:b/>
          <w:bCs/>
          <w:lang w:val="en-US"/>
        </w:rPr>
        <w:t>E.g. IAB-DU can use full BW when IAB-MT is not scheduled; otherwise can use part of BW.</w:t>
      </w:r>
    </w:p>
    <w:p w14:paraId="64811657" w14:textId="77777777" w:rsidR="00347C4D" w:rsidRDefault="00347C4D" w:rsidP="00347C4D">
      <w:pPr>
        <w:rPr>
          <w:b/>
          <w:bCs/>
          <w:lang w:val="en-US"/>
        </w:rPr>
      </w:pPr>
    </w:p>
    <w:p w14:paraId="4742F500" w14:textId="77777777" w:rsidR="00347C4D" w:rsidRDefault="00347C4D" w:rsidP="00347C4D">
      <w:pPr>
        <w:rPr>
          <w:b/>
          <w:bCs/>
          <w:u w:val="single"/>
          <w:lang w:eastAsia="zh-CN"/>
        </w:rPr>
      </w:pPr>
      <w:r>
        <w:rPr>
          <w:b/>
          <w:bCs/>
          <w:u w:val="single"/>
          <w:lang w:eastAsia="zh-CN"/>
        </w:rPr>
        <w:t>Proposal 2.2</w:t>
      </w:r>
      <w:r w:rsidRPr="00D24022">
        <w:rPr>
          <w:b/>
          <w:bCs/>
          <w:u w:val="single"/>
          <w:lang w:eastAsia="zh-CN"/>
        </w:rPr>
        <w:t>:</w:t>
      </w:r>
    </w:p>
    <w:p w14:paraId="6EBDE254" w14:textId="77777777" w:rsidR="00347C4D" w:rsidRDefault="00347C4D" w:rsidP="00347C4D">
      <w:pPr>
        <w:rPr>
          <w:b/>
          <w:bCs/>
        </w:rPr>
      </w:pPr>
      <w:r w:rsidRPr="00656AE4">
        <w:rPr>
          <w:b/>
          <w:bCs/>
        </w:rPr>
        <w:t xml:space="preserve">Support dynamic FDM </w:t>
      </w:r>
      <w:r>
        <w:rPr>
          <w:b/>
          <w:bCs/>
        </w:rPr>
        <w:t>within a CC</w:t>
      </w:r>
      <w:r w:rsidRPr="00656AE4">
        <w:rPr>
          <w:b/>
          <w:bCs/>
        </w:rPr>
        <w:t xml:space="preserve"> by keeping existing DCI 2_5 format and extending RRC configured table for availability combinations to allow for indication of availability in frequency-domain in granularity of RB set</w:t>
      </w:r>
      <w:r>
        <w:rPr>
          <w:b/>
          <w:bCs/>
        </w:rPr>
        <w:t>.</w:t>
      </w:r>
    </w:p>
    <w:p w14:paraId="05A0AED9" w14:textId="77777777" w:rsidR="00347C4D" w:rsidRDefault="00347C4D" w:rsidP="00347C4D">
      <w:pPr>
        <w:pStyle w:val="ListParagraph"/>
        <w:numPr>
          <w:ilvl w:val="0"/>
          <w:numId w:val="34"/>
        </w:numPr>
        <w:rPr>
          <w:b/>
          <w:bCs/>
        </w:rPr>
      </w:pPr>
      <w:r>
        <w:rPr>
          <w:b/>
          <w:bCs/>
        </w:rPr>
        <w:t xml:space="preserve">FFS: details of signaling enhancements for the RRC configured table. </w:t>
      </w:r>
    </w:p>
    <w:p w14:paraId="006077E7" w14:textId="77777777" w:rsidR="00347C4D" w:rsidRPr="008843B8" w:rsidRDefault="00347C4D" w:rsidP="00347C4D">
      <w:pPr>
        <w:rPr>
          <w:b/>
          <w:bCs/>
          <w:u w:val="single"/>
          <w:lang w:eastAsia="zh-CN"/>
        </w:rPr>
      </w:pPr>
      <w:r w:rsidRPr="008843B8">
        <w:rPr>
          <w:b/>
          <w:bCs/>
          <w:u w:val="single"/>
          <w:lang w:eastAsia="zh-CN"/>
        </w:rPr>
        <w:t>Proposal 2.3:</w:t>
      </w:r>
    </w:p>
    <w:p w14:paraId="0FE48DD2" w14:textId="77777777" w:rsidR="00347C4D" w:rsidRPr="008843B8" w:rsidRDefault="00347C4D" w:rsidP="00347C4D">
      <w:pPr>
        <w:rPr>
          <w:b/>
          <w:bCs/>
          <w:lang w:val="en-US"/>
        </w:rPr>
      </w:pPr>
      <w:r w:rsidRPr="008843B8">
        <w:rPr>
          <w:b/>
          <w:bCs/>
          <w:lang w:val="en-US"/>
        </w:rPr>
        <w:t xml:space="preserve">Update resourceAvailability mapping table defined in TS38.213 so that the indication of availability can be applied over soft resources in frequency-domain for DL or UL or Flexible symbols. </w:t>
      </w:r>
    </w:p>
    <w:p w14:paraId="4E216DE8" w14:textId="77777777" w:rsidR="00347C4D" w:rsidRPr="00E90264" w:rsidRDefault="00347C4D" w:rsidP="00347C4D">
      <w:pPr>
        <w:pStyle w:val="ListParagraph"/>
        <w:numPr>
          <w:ilvl w:val="0"/>
          <w:numId w:val="34"/>
        </w:numPr>
        <w:rPr>
          <w:b/>
          <w:bCs/>
        </w:rPr>
      </w:pPr>
      <w:r w:rsidRPr="008843B8">
        <w:rPr>
          <w:b/>
          <w:bCs/>
          <w:lang w:val="en-US"/>
        </w:rPr>
        <w:t>E.g. replacing “soft DL/UL/Flexible symbols” with “soft resources in DL/UL/Flexible symbols”</w:t>
      </w:r>
    </w:p>
    <w:p w14:paraId="73824376" w14:textId="77777777" w:rsidR="00347C4D" w:rsidRPr="00E90264" w:rsidRDefault="00347C4D" w:rsidP="00347C4D">
      <w:pPr>
        <w:rPr>
          <w:b/>
          <w:bCs/>
          <w:u w:val="single"/>
          <w:lang w:eastAsia="zh-CN"/>
        </w:rPr>
      </w:pPr>
      <w:r w:rsidRPr="00E90264">
        <w:rPr>
          <w:b/>
          <w:bCs/>
          <w:u w:val="single"/>
          <w:lang w:eastAsia="zh-CN"/>
        </w:rPr>
        <w:t>Observation 3.1:</w:t>
      </w:r>
    </w:p>
    <w:p w14:paraId="676304A5" w14:textId="77777777" w:rsidR="00347C4D" w:rsidRPr="00E90264" w:rsidRDefault="00347C4D" w:rsidP="00347C4D">
      <w:pPr>
        <w:rPr>
          <w:b/>
          <w:bCs/>
        </w:rPr>
      </w:pPr>
      <w:r w:rsidRPr="00E90264">
        <w:rPr>
          <w:b/>
          <w:bCs/>
        </w:rPr>
        <w:t xml:space="preserve">In </w:t>
      </w:r>
      <w:r>
        <w:rPr>
          <w:b/>
          <w:bCs/>
        </w:rPr>
        <w:t>Rel-16</w:t>
      </w:r>
      <w:r w:rsidRPr="00E90264">
        <w:rPr>
          <w:b/>
          <w:bCs/>
        </w:rPr>
        <w:t xml:space="preserve">, TDD confliction resolution is specified for CA (both intra-band and inter-band CA), and it is not applicable for NR-DC, where NR-DC is limited to inter-band with FR1+FR1 or FR1+FR2. </w:t>
      </w:r>
    </w:p>
    <w:p w14:paraId="5CB614AB" w14:textId="77777777" w:rsidR="00347C4D" w:rsidRPr="00E90264" w:rsidRDefault="00347C4D" w:rsidP="00347C4D">
      <w:pPr>
        <w:rPr>
          <w:b/>
          <w:bCs/>
          <w:u w:val="single"/>
          <w:lang w:eastAsia="zh-CN"/>
        </w:rPr>
      </w:pPr>
      <w:r w:rsidRPr="00E90264">
        <w:rPr>
          <w:b/>
          <w:bCs/>
          <w:u w:val="single"/>
          <w:lang w:eastAsia="zh-CN"/>
        </w:rPr>
        <w:t>Observation 3.2:</w:t>
      </w:r>
    </w:p>
    <w:p w14:paraId="5043BF15" w14:textId="77777777" w:rsidR="00347C4D" w:rsidRDefault="00347C4D" w:rsidP="00347C4D">
      <w:pPr>
        <w:rPr>
          <w:b/>
          <w:bCs/>
        </w:rPr>
      </w:pPr>
      <w:r w:rsidRPr="00E90264">
        <w:rPr>
          <w:b/>
          <w:bCs/>
        </w:rPr>
        <w:t>To achieve coverage extension via IAB, it is crucial to support at least inter-band FR2+FR2 NR-DC and intra-band inter-carrier NR-DC, where UE may or may not have capability of simultaneous RX/TX over the band combinations to be added.</w:t>
      </w:r>
    </w:p>
    <w:p w14:paraId="52067619" w14:textId="77777777" w:rsidR="00347C4D" w:rsidRDefault="00347C4D" w:rsidP="00347C4D">
      <w:pPr>
        <w:overflowPunct/>
        <w:autoSpaceDE/>
        <w:autoSpaceDN/>
        <w:adjustRightInd/>
        <w:spacing w:after="0"/>
        <w:textAlignment w:val="auto"/>
        <w:rPr>
          <w:b/>
          <w:bCs/>
          <w:u w:val="single"/>
          <w:lang w:eastAsia="zh-CN"/>
        </w:rPr>
      </w:pPr>
      <w:r>
        <w:rPr>
          <w:b/>
          <w:bCs/>
          <w:u w:val="single"/>
          <w:lang w:eastAsia="zh-CN"/>
        </w:rPr>
        <w:t>Proposal 3.1</w:t>
      </w:r>
      <w:r w:rsidRPr="00D24022">
        <w:rPr>
          <w:b/>
          <w:bCs/>
          <w:u w:val="single"/>
          <w:lang w:eastAsia="zh-CN"/>
        </w:rPr>
        <w:t>:</w:t>
      </w:r>
    </w:p>
    <w:p w14:paraId="5CED8561" w14:textId="77777777" w:rsidR="00347C4D" w:rsidRDefault="00347C4D" w:rsidP="00347C4D">
      <w:pPr>
        <w:overflowPunct/>
        <w:autoSpaceDE/>
        <w:autoSpaceDN/>
        <w:adjustRightInd/>
        <w:spacing w:after="0"/>
        <w:textAlignment w:val="auto"/>
        <w:rPr>
          <w:b/>
          <w:bCs/>
          <w:lang w:val="en-US"/>
        </w:rPr>
      </w:pPr>
    </w:p>
    <w:p w14:paraId="1F22D473" w14:textId="77777777" w:rsidR="00347C4D" w:rsidRDefault="00347C4D" w:rsidP="00347C4D">
      <w:pPr>
        <w:overflowPunct/>
        <w:autoSpaceDE/>
        <w:autoSpaceDN/>
        <w:adjustRightInd/>
        <w:spacing w:after="0"/>
        <w:textAlignment w:val="auto"/>
        <w:rPr>
          <w:b/>
          <w:bCs/>
          <w:lang w:val="en-US"/>
        </w:rPr>
      </w:pPr>
      <w:r w:rsidRPr="00792598">
        <w:rPr>
          <w:b/>
          <w:bCs/>
          <w:lang w:val="en-US"/>
        </w:rPr>
        <w:t xml:space="preserve">Extend </w:t>
      </w:r>
      <w:r>
        <w:rPr>
          <w:b/>
          <w:bCs/>
          <w:lang w:val="en-US"/>
        </w:rPr>
        <w:t>Rel-16</w:t>
      </w:r>
      <w:r w:rsidRPr="00792598">
        <w:rPr>
          <w:b/>
          <w:bCs/>
          <w:lang w:val="en-US"/>
        </w:rPr>
        <w:t xml:space="preserve"> </w:t>
      </w:r>
      <w:r>
        <w:rPr>
          <w:b/>
          <w:bCs/>
          <w:lang w:val="en-US"/>
        </w:rPr>
        <w:t xml:space="preserve">CA </w:t>
      </w:r>
      <w:r w:rsidRPr="00792598">
        <w:rPr>
          <w:b/>
          <w:bCs/>
          <w:lang w:val="en-US"/>
        </w:rPr>
        <w:t xml:space="preserve">TDD confliction resolution framework for at least synchronous </w:t>
      </w:r>
      <w:r w:rsidRPr="00AD6547">
        <w:rPr>
          <w:b/>
          <w:bCs/>
          <w:lang w:val="en-US"/>
        </w:rPr>
        <w:t>intra-band</w:t>
      </w:r>
      <w:r>
        <w:rPr>
          <w:b/>
          <w:bCs/>
          <w:lang w:val="en-US"/>
        </w:rPr>
        <w:t xml:space="preserve"> </w:t>
      </w:r>
      <w:r w:rsidRPr="00792598">
        <w:rPr>
          <w:b/>
          <w:bCs/>
          <w:lang w:val="en-US"/>
        </w:rPr>
        <w:t xml:space="preserve">NR-DC operation, which has the same minimum requirements in TS38.133 on max receiving timing difference (MRTD) as the inter-band CA operation. </w:t>
      </w:r>
    </w:p>
    <w:p w14:paraId="163CFD12" w14:textId="77777777" w:rsidR="00347C4D" w:rsidRDefault="00347C4D" w:rsidP="00347C4D">
      <w:pPr>
        <w:pStyle w:val="ListParagraph"/>
        <w:numPr>
          <w:ilvl w:val="0"/>
          <w:numId w:val="36"/>
        </w:numPr>
        <w:overflowPunct/>
        <w:autoSpaceDE/>
        <w:autoSpaceDN/>
        <w:adjustRightInd/>
        <w:spacing w:after="0"/>
        <w:textAlignment w:val="auto"/>
        <w:rPr>
          <w:b/>
          <w:bCs/>
          <w:lang w:val="en-US"/>
        </w:rPr>
      </w:pPr>
      <w:r w:rsidRPr="00C66E47">
        <w:rPr>
          <w:b/>
          <w:bCs/>
          <w:lang w:val="en-US"/>
        </w:rPr>
        <w:t>FFS: detailed spec changes</w:t>
      </w:r>
      <w:r>
        <w:rPr>
          <w:b/>
          <w:bCs/>
          <w:lang w:val="en-US"/>
        </w:rPr>
        <w:t xml:space="preserve"> with consideration of independent MAC schedulers at NR-DC</w:t>
      </w:r>
      <w:r w:rsidRPr="00C66E47">
        <w:rPr>
          <w:b/>
          <w:bCs/>
          <w:lang w:val="en-US"/>
        </w:rPr>
        <w:t>, e.g. on TS38.213, TS38.331, TS38.306.</w:t>
      </w:r>
    </w:p>
    <w:p w14:paraId="3CC56558" w14:textId="77777777" w:rsidR="00347C4D" w:rsidRDefault="00347C4D" w:rsidP="00347C4D">
      <w:pPr>
        <w:pStyle w:val="ListParagraph"/>
        <w:numPr>
          <w:ilvl w:val="0"/>
          <w:numId w:val="36"/>
        </w:numPr>
        <w:overflowPunct/>
        <w:autoSpaceDE/>
        <w:autoSpaceDN/>
        <w:adjustRightInd/>
        <w:spacing w:after="0"/>
        <w:textAlignment w:val="auto"/>
        <w:rPr>
          <w:b/>
          <w:bCs/>
          <w:lang w:val="en-US"/>
        </w:rPr>
      </w:pPr>
      <w:r w:rsidRPr="00EA6440">
        <w:rPr>
          <w:b/>
          <w:bCs/>
          <w:lang w:val="en-US"/>
        </w:rPr>
        <w:t>FFS: whether extension is also required for inter-band FR2+FR2 NR-DC, or the IAB-MT is mandatorily required to have capability of simultaneous RX/TX for FR2+FR2 inter-band NR-DC over supported band combinations.</w:t>
      </w:r>
    </w:p>
    <w:p w14:paraId="7BCDB795" w14:textId="77777777" w:rsidR="00347C4D" w:rsidRDefault="00347C4D" w:rsidP="00347C4D">
      <w:pPr>
        <w:overflowPunct/>
        <w:autoSpaceDE/>
        <w:autoSpaceDN/>
        <w:adjustRightInd/>
        <w:spacing w:after="0"/>
        <w:textAlignment w:val="auto"/>
        <w:rPr>
          <w:b/>
          <w:bCs/>
          <w:lang w:val="en-US"/>
        </w:rPr>
      </w:pPr>
    </w:p>
    <w:p w14:paraId="1E08CE6F" w14:textId="77777777" w:rsidR="00347C4D" w:rsidRDefault="00347C4D" w:rsidP="00347C4D">
      <w:r>
        <w:rPr>
          <w:b/>
          <w:bCs/>
          <w:u w:val="single"/>
          <w:lang w:eastAsia="zh-CN"/>
        </w:rPr>
        <w:t>Observation 3.4</w:t>
      </w:r>
      <w:r w:rsidRPr="00D24022">
        <w:rPr>
          <w:b/>
          <w:bCs/>
          <w:u w:val="single"/>
          <w:lang w:eastAsia="zh-CN"/>
        </w:rPr>
        <w:t>:</w:t>
      </w:r>
    </w:p>
    <w:p w14:paraId="52E4432D" w14:textId="77777777" w:rsidR="00347C4D" w:rsidRDefault="00347C4D" w:rsidP="00347C4D">
      <w:pPr>
        <w:rPr>
          <w:b/>
          <w:bCs/>
        </w:rPr>
      </w:pPr>
      <w:r w:rsidRPr="00961A91">
        <w:rPr>
          <w:b/>
          <w:bCs/>
        </w:rPr>
        <w:lastRenderedPageBreak/>
        <w:t>For single-parent case with a single MAC scheduler at the parent DU, if IAB-MT is configured with DCI</w:t>
      </w:r>
      <w:r>
        <w:rPr>
          <w:b/>
          <w:bCs/>
        </w:rPr>
        <w:t xml:space="preserve"> </w:t>
      </w:r>
      <w:r w:rsidRPr="00961A91">
        <w:rPr>
          <w:b/>
          <w:bCs/>
        </w:rPr>
        <w:t>2_5 from multiple serving cells, the received multiple DCI</w:t>
      </w:r>
      <w:r>
        <w:rPr>
          <w:b/>
          <w:bCs/>
        </w:rPr>
        <w:t xml:space="preserve"> </w:t>
      </w:r>
      <w:r w:rsidRPr="00961A91">
        <w:rPr>
          <w:b/>
          <w:bCs/>
        </w:rPr>
        <w:t xml:space="preserve">2_5s </w:t>
      </w:r>
      <w:r>
        <w:rPr>
          <w:b/>
          <w:bCs/>
        </w:rPr>
        <w:t>are expected to be</w:t>
      </w:r>
      <w:r w:rsidRPr="00961A91">
        <w:rPr>
          <w:b/>
          <w:bCs/>
        </w:rPr>
        <w:t xml:space="preserve"> consistent with each other</w:t>
      </w:r>
      <w:r>
        <w:rPr>
          <w:b/>
          <w:bCs/>
        </w:rPr>
        <w:t>.</w:t>
      </w:r>
    </w:p>
    <w:p w14:paraId="19F200CC" w14:textId="77777777" w:rsidR="00347C4D" w:rsidRDefault="00347C4D" w:rsidP="00347C4D">
      <w:r>
        <w:rPr>
          <w:b/>
          <w:bCs/>
          <w:u w:val="single"/>
          <w:lang w:eastAsia="zh-CN"/>
        </w:rPr>
        <w:t>Observation 3.5</w:t>
      </w:r>
      <w:r w:rsidRPr="00D24022">
        <w:rPr>
          <w:b/>
          <w:bCs/>
          <w:u w:val="single"/>
          <w:lang w:eastAsia="zh-CN"/>
        </w:rPr>
        <w:t>:</w:t>
      </w:r>
    </w:p>
    <w:p w14:paraId="741557B7" w14:textId="77777777" w:rsidR="00347C4D" w:rsidRDefault="00347C4D" w:rsidP="00347C4D">
      <w:pPr>
        <w:overflowPunct/>
        <w:autoSpaceDE/>
        <w:autoSpaceDN/>
        <w:adjustRightInd/>
        <w:spacing w:after="0"/>
        <w:textAlignment w:val="auto"/>
        <w:rPr>
          <w:b/>
          <w:bCs/>
        </w:rPr>
      </w:pPr>
      <w:r w:rsidRPr="00D97D86">
        <w:rPr>
          <w:b/>
          <w:bCs/>
        </w:rPr>
        <w:t>For multi-parent case with separate MAC schedulers at two parent DUs, the usage of a soft resource at an IAB-DU cell shall depend on explicit and/or implicit control of both parent DUs.</w:t>
      </w:r>
    </w:p>
    <w:p w14:paraId="71D2FDDD" w14:textId="77777777" w:rsidR="00347C4D" w:rsidRDefault="00347C4D" w:rsidP="00347C4D">
      <w:pPr>
        <w:overflowPunct/>
        <w:autoSpaceDE/>
        <w:autoSpaceDN/>
        <w:adjustRightInd/>
        <w:spacing w:after="0"/>
        <w:textAlignment w:val="auto"/>
        <w:rPr>
          <w:b/>
          <w:bCs/>
        </w:rPr>
      </w:pPr>
    </w:p>
    <w:p w14:paraId="46620730" w14:textId="77777777" w:rsidR="00347C4D" w:rsidRDefault="00347C4D" w:rsidP="00347C4D">
      <w:r>
        <w:rPr>
          <w:b/>
          <w:bCs/>
          <w:u w:val="single"/>
          <w:lang w:eastAsia="zh-CN"/>
        </w:rPr>
        <w:t>Proposal 3.2</w:t>
      </w:r>
      <w:r w:rsidRPr="00D24022">
        <w:rPr>
          <w:b/>
          <w:bCs/>
          <w:u w:val="single"/>
          <w:lang w:eastAsia="zh-CN"/>
        </w:rPr>
        <w:t>:</w:t>
      </w:r>
    </w:p>
    <w:p w14:paraId="39BA98AD" w14:textId="77777777" w:rsidR="00347C4D" w:rsidRDefault="00347C4D" w:rsidP="00347C4D">
      <w:pPr>
        <w:rPr>
          <w:b/>
          <w:bCs/>
          <w:lang w:val="en-US"/>
        </w:rPr>
      </w:pPr>
      <w:r w:rsidRPr="0085324B">
        <w:rPr>
          <w:b/>
          <w:bCs/>
          <w:lang w:val="en-US"/>
        </w:rPr>
        <w:t>For an IAB-node with dual-parents, an IAB-DU cell can use a soft resource if</w:t>
      </w:r>
    </w:p>
    <w:p w14:paraId="467FEF54" w14:textId="77777777" w:rsidR="00347C4D" w:rsidRDefault="00347C4D" w:rsidP="00347C4D">
      <w:pPr>
        <w:pStyle w:val="ListParagraph"/>
        <w:numPr>
          <w:ilvl w:val="0"/>
          <w:numId w:val="36"/>
        </w:numPr>
        <w:rPr>
          <w:b/>
          <w:bCs/>
          <w:lang w:val="en-US"/>
        </w:rPr>
      </w:pPr>
      <w:r w:rsidRPr="0085324B">
        <w:rPr>
          <w:b/>
          <w:bCs/>
          <w:lang w:val="en-US"/>
        </w:rPr>
        <w:t>Explicit indications of availability are received from both parent</w:t>
      </w:r>
      <w:r>
        <w:rPr>
          <w:b/>
          <w:bCs/>
          <w:lang w:val="en-US"/>
        </w:rPr>
        <w:t>s</w:t>
      </w:r>
      <w:r w:rsidRPr="0085324B">
        <w:rPr>
          <w:b/>
          <w:bCs/>
          <w:lang w:val="en-US"/>
        </w:rPr>
        <w:t>.</w:t>
      </w:r>
    </w:p>
    <w:p w14:paraId="350D321F" w14:textId="77777777" w:rsidR="00347C4D" w:rsidRDefault="00347C4D" w:rsidP="00347C4D">
      <w:pPr>
        <w:pStyle w:val="ListParagraph"/>
        <w:numPr>
          <w:ilvl w:val="0"/>
          <w:numId w:val="36"/>
        </w:numPr>
        <w:rPr>
          <w:b/>
          <w:bCs/>
          <w:lang w:val="en-US"/>
        </w:rPr>
      </w:pPr>
      <w:r w:rsidRPr="006E3DA4">
        <w:rPr>
          <w:b/>
          <w:bCs/>
          <w:lang w:val="en-US"/>
        </w:rPr>
        <w:t>Or explicit indication of availability is received from 1</w:t>
      </w:r>
      <w:r w:rsidRPr="006E3DA4">
        <w:rPr>
          <w:b/>
          <w:bCs/>
          <w:vertAlign w:val="superscript"/>
          <w:lang w:val="en-US"/>
        </w:rPr>
        <w:t>st</w:t>
      </w:r>
      <w:r w:rsidRPr="006E3DA4">
        <w:rPr>
          <w:b/>
          <w:bCs/>
          <w:lang w:val="en-US"/>
        </w:rPr>
        <w:t xml:space="preserve"> parent, and implicit determination is made on 2</w:t>
      </w:r>
      <w:r w:rsidRPr="006E3DA4">
        <w:rPr>
          <w:b/>
          <w:bCs/>
          <w:vertAlign w:val="superscript"/>
          <w:lang w:val="en-US"/>
        </w:rPr>
        <w:t>nd</w:t>
      </w:r>
      <w:r w:rsidRPr="006E3DA4">
        <w:rPr>
          <w:b/>
          <w:bCs/>
          <w:lang w:val="en-US"/>
        </w:rPr>
        <w:t xml:space="preserve"> parent so that </w:t>
      </w:r>
    </w:p>
    <w:p w14:paraId="5648A979" w14:textId="77777777" w:rsidR="00347C4D" w:rsidRDefault="00347C4D" w:rsidP="00347C4D">
      <w:pPr>
        <w:pStyle w:val="ListParagraph"/>
        <w:numPr>
          <w:ilvl w:val="1"/>
          <w:numId w:val="36"/>
        </w:numPr>
        <w:rPr>
          <w:b/>
          <w:bCs/>
          <w:lang w:val="en-US"/>
        </w:rPr>
      </w:pPr>
      <w:r w:rsidRPr="006E3DA4">
        <w:rPr>
          <w:b/>
          <w:bCs/>
          <w:lang w:val="en-US"/>
        </w:rPr>
        <w:t>Either IAB-MT will not do TX/RX with 2</w:t>
      </w:r>
      <w:r w:rsidRPr="006E3DA4">
        <w:rPr>
          <w:b/>
          <w:bCs/>
          <w:vertAlign w:val="superscript"/>
          <w:lang w:val="en-US"/>
        </w:rPr>
        <w:t>nd</w:t>
      </w:r>
      <w:r w:rsidRPr="006E3DA4">
        <w:rPr>
          <w:b/>
          <w:bCs/>
          <w:lang w:val="en-US"/>
        </w:rPr>
        <w:t xml:space="preserve"> parent</w:t>
      </w:r>
    </w:p>
    <w:p w14:paraId="3C9A7B79" w14:textId="77777777" w:rsidR="00347C4D" w:rsidRPr="006E3DA4" w:rsidRDefault="00347C4D" w:rsidP="00347C4D">
      <w:pPr>
        <w:pStyle w:val="ListParagraph"/>
        <w:numPr>
          <w:ilvl w:val="1"/>
          <w:numId w:val="36"/>
        </w:numPr>
        <w:rPr>
          <w:b/>
          <w:bCs/>
          <w:lang w:val="en-US"/>
        </w:rPr>
      </w:pPr>
      <w:r w:rsidRPr="006E3DA4">
        <w:rPr>
          <w:b/>
          <w:bCs/>
          <w:lang w:val="en-US"/>
        </w:rPr>
        <w:t>Or the IAB-DU cell’s use of the soft resource will not impact the IAB-MT’s TX or RX with 2</w:t>
      </w:r>
      <w:r w:rsidRPr="006E3DA4">
        <w:rPr>
          <w:b/>
          <w:bCs/>
          <w:vertAlign w:val="superscript"/>
          <w:lang w:val="en-US"/>
        </w:rPr>
        <w:t>nd</w:t>
      </w:r>
      <w:r w:rsidRPr="006E3DA4">
        <w:rPr>
          <w:b/>
          <w:bCs/>
          <w:lang w:val="en-US"/>
        </w:rPr>
        <w:t xml:space="preserve"> parent. </w:t>
      </w:r>
    </w:p>
    <w:p w14:paraId="0D7F95BF" w14:textId="77777777" w:rsidR="00347C4D" w:rsidRDefault="00347C4D" w:rsidP="00347C4D">
      <w:pPr>
        <w:pStyle w:val="ListParagraph"/>
        <w:numPr>
          <w:ilvl w:val="0"/>
          <w:numId w:val="36"/>
        </w:numPr>
        <w:rPr>
          <w:b/>
          <w:bCs/>
          <w:lang w:val="en-US"/>
        </w:rPr>
      </w:pPr>
      <w:r w:rsidRPr="000F313B">
        <w:rPr>
          <w:b/>
          <w:bCs/>
          <w:lang w:val="en-US"/>
        </w:rPr>
        <w:t>Or implicit determination is made on both parent nodes so that</w:t>
      </w:r>
    </w:p>
    <w:p w14:paraId="72A06A1E" w14:textId="77777777" w:rsidR="00347C4D" w:rsidRDefault="00347C4D" w:rsidP="00347C4D">
      <w:pPr>
        <w:pStyle w:val="ListParagraph"/>
        <w:numPr>
          <w:ilvl w:val="1"/>
          <w:numId w:val="36"/>
        </w:numPr>
        <w:rPr>
          <w:b/>
          <w:bCs/>
          <w:lang w:val="en-US"/>
        </w:rPr>
      </w:pPr>
      <w:r w:rsidRPr="000F313B">
        <w:rPr>
          <w:b/>
          <w:bCs/>
          <w:lang w:val="en-US"/>
        </w:rPr>
        <w:t>Either IAB-MT will not do TX/RX with both parent nodes</w:t>
      </w:r>
    </w:p>
    <w:p w14:paraId="0F1407C6" w14:textId="77777777" w:rsidR="00347C4D" w:rsidRDefault="00347C4D" w:rsidP="00347C4D">
      <w:pPr>
        <w:pStyle w:val="ListParagraph"/>
        <w:numPr>
          <w:ilvl w:val="1"/>
          <w:numId w:val="36"/>
        </w:numPr>
        <w:rPr>
          <w:b/>
          <w:bCs/>
          <w:lang w:val="en-US"/>
        </w:rPr>
      </w:pPr>
      <w:r w:rsidRPr="007B1488">
        <w:rPr>
          <w:b/>
          <w:bCs/>
          <w:lang w:val="en-US"/>
        </w:rPr>
        <w:t xml:space="preserve">Or the IAB-DU cell’s use of the soft resource will not impact the IAB-MT’s TX or RX with both parent nodes. </w:t>
      </w:r>
    </w:p>
    <w:p w14:paraId="0E7AE89C" w14:textId="77777777" w:rsidR="00347C4D" w:rsidRPr="008402BA" w:rsidRDefault="00347C4D" w:rsidP="00347C4D">
      <w:pPr>
        <w:pStyle w:val="ListParagraph"/>
        <w:numPr>
          <w:ilvl w:val="1"/>
          <w:numId w:val="36"/>
        </w:numPr>
        <w:rPr>
          <w:b/>
          <w:bCs/>
          <w:lang w:val="en-US"/>
        </w:rPr>
      </w:pPr>
      <w:r w:rsidRPr="008402BA">
        <w:rPr>
          <w:b/>
          <w:bCs/>
          <w:lang w:val="en-US"/>
        </w:rPr>
        <w:t>Or IAB-MT will not do TX/RX with one parent node, and the IAB-DU cell’s use of the soft resource will not impact IAB-MT’s TX or RX with the other parent node.</w:t>
      </w:r>
    </w:p>
    <w:p w14:paraId="1C3A6C8F" w14:textId="77777777" w:rsidR="00347C4D" w:rsidRDefault="00347C4D" w:rsidP="00347C4D">
      <w:pPr>
        <w:pStyle w:val="Heading2"/>
      </w:pPr>
      <w:r>
        <w:t>References</w:t>
      </w:r>
    </w:p>
    <w:p w14:paraId="08637328" w14:textId="77777777" w:rsidR="00347C4D" w:rsidRDefault="00347C4D" w:rsidP="00347C4D">
      <w:pPr>
        <w:rPr>
          <w:sz w:val="18"/>
        </w:rPr>
      </w:pPr>
      <w:r w:rsidRPr="00860A73">
        <w:rPr>
          <w:sz w:val="18"/>
        </w:rPr>
        <w:t>[1]</w:t>
      </w:r>
      <w:r w:rsidRPr="00860A73">
        <w:rPr>
          <w:sz w:val="18"/>
        </w:rPr>
        <w:tab/>
      </w:r>
      <w:r>
        <w:rPr>
          <w:sz w:val="18"/>
        </w:rPr>
        <w:tab/>
      </w:r>
      <w:r w:rsidRPr="00691062">
        <w:rPr>
          <w:sz w:val="18"/>
        </w:rPr>
        <w:t>RP-201293: Revised WID for NR_IAB_enh; TSG RAN Meeting #88, Electronic Meeting, June 29 - July 3, 2020</w:t>
      </w:r>
    </w:p>
    <w:p w14:paraId="6A458AC3" w14:textId="77777777" w:rsidR="00347C4D" w:rsidRDefault="00347C4D" w:rsidP="00347C4D">
      <w:pPr>
        <w:rPr>
          <w:sz w:val="18"/>
        </w:rPr>
      </w:pPr>
      <w:r>
        <w:rPr>
          <w:sz w:val="18"/>
        </w:rPr>
        <w:t xml:space="preserve">[2] </w:t>
      </w:r>
      <w:r>
        <w:rPr>
          <w:sz w:val="18"/>
        </w:rPr>
        <w:tab/>
      </w:r>
      <w:r>
        <w:rPr>
          <w:sz w:val="18"/>
        </w:rPr>
        <w:tab/>
        <w:t>Chairman’s notes RAN1-104e for IAB</w:t>
      </w:r>
    </w:p>
    <w:p w14:paraId="08E954C0" w14:textId="77777777" w:rsidR="00347C4D" w:rsidRDefault="00347C4D" w:rsidP="00347C4D">
      <w:pPr>
        <w:rPr>
          <w:sz w:val="18"/>
        </w:rPr>
      </w:pPr>
      <w:r>
        <w:rPr>
          <w:sz w:val="18"/>
        </w:rPr>
        <w:t>[3]    TS38.473 3GPP NG-RAN F1 application protocol (F1-AP) (Rel-16)</w:t>
      </w:r>
    </w:p>
    <w:p w14:paraId="7A651187" w14:textId="77777777" w:rsidR="00347C4D" w:rsidRDefault="00347C4D" w:rsidP="00347C4D">
      <w:pPr>
        <w:rPr>
          <w:sz w:val="18"/>
        </w:rPr>
      </w:pPr>
      <w:r>
        <w:rPr>
          <w:sz w:val="18"/>
        </w:rPr>
        <w:t>[4]    TS38.213 3GPP NR Physical layer procedure for control (Rel-16)</w:t>
      </w:r>
    </w:p>
    <w:p w14:paraId="125E68B3" w14:textId="77777777" w:rsidR="00347C4D" w:rsidRDefault="00347C4D" w:rsidP="00347C4D">
      <w:pPr>
        <w:rPr>
          <w:sz w:val="18"/>
        </w:rPr>
      </w:pPr>
      <w:r>
        <w:rPr>
          <w:sz w:val="18"/>
        </w:rPr>
        <w:t xml:space="preserve">[5] </w:t>
      </w:r>
      <w:r>
        <w:rPr>
          <w:sz w:val="18"/>
        </w:rPr>
        <w:tab/>
      </w:r>
      <w:r>
        <w:rPr>
          <w:sz w:val="18"/>
        </w:rPr>
        <w:tab/>
        <w:t xml:space="preserve">TS38.101-1 – 3GPP NR </w:t>
      </w:r>
      <w:r w:rsidRPr="007504D3">
        <w:rPr>
          <w:sz w:val="18"/>
        </w:rPr>
        <w:t>User Equipment (UE) radio transmission and reception;</w:t>
      </w:r>
      <w:r>
        <w:rPr>
          <w:sz w:val="18"/>
        </w:rPr>
        <w:t xml:space="preserve"> </w:t>
      </w:r>
      <w:r w:rsidRPr="007504D3">
        <w:rPr>
          <w:sz w:val="18"/>
        </w:rPr>
        <w:t>Part 1: Range 1 Standalone</w:t>
      </w:r>
      <w:r>
        <w:rPr>
          <w:sz w:val="18"/>
        </w:rPr>
        <w:t xml:space="preserve"> (Rel-16) </w:t>
      </w:r>
    </w:p>
    <w:p w14:paraId="4AE349DB" w14:textId="77777777" w:rsidR="00347C4D" w:rsidRDefault="00347C4D" w:rsidP="00347C4D">
      <w:pPr>
        <w:ind w:left="568" w:hanging="568"/>
        <w:rPr>
          <w:sz w:val="18"/>
        </w:rPr>
      </w:pPr>
      <w:r>
        <w:rPr>
          <w:sz w:val="18"/>
        </w:rPr>
        <w:t xml:space="preserve">[6] </w:t>
      </w:r>
      <w:r>
        <w:rPr>
          <w:sz w:val="18"/>
        </w:rPr>
        <w:tab/>
        <w:t xml:space="preserve">TS38.101-3 3GPP – NR </w:t>
      </w:r>
      <w:r w:rsidRPr="000C7B38">
        <w:rPr>
          <w:sz w:val="18"/>
        </w:rPr>
        <w:t>User Equipment (UE) radio transmission and reception;</w:t>
      </w:r>
      <w:r>
        <w:rPr>
          <w:sz w:val="18"/>
        </w:rPr>
        <w:t xml:space="preserve"> </w:t>
      </w:r>
      <w:r w:rsidRPr="000C7B38">
        <w:rPr>
          <w:sz w:val="18"/>
        </w:rPr>
        <w:t>Part 3: Range 1 and Range 2 Interworking operation with other radios</w:t>
      </w:r>
      <w:r>
        <w:rPr>
          <w:sz w:val="18"/>
        </w:rPr>
        <w:t xml:space="preserve"> (Rel-16)</w:t>
      </w:r>
    </w:p>
    <w:p w14:paraId="0C95448F" w14:textId="77777777" w:rsidR="00347C4D" w:rsidRDefault="00347C4D" w:rsidP="00347C4D">
      <w:pPr>
        <w:rPr>
          <w:sz w:val="18"/>
        </w:rPr>
      </w:pPr>
      <w:r>
        <w:rPr>
          <w:sz w:val="18"/>
        </w:rPr>
        <w:t xml:space="preserve">[7] </w:t>
      </w:r>
      <w:r>
        <w:rPr>
          <w:sz w:val="18"/>
        </w:rPr>
        <w:tab/>
      </w:r>
      <w:r>
        <w:rPr>
          <w:sz w:val="18"/>
        </w:rPr>
        <w:tab/>
        <w:t xml:space="preserve">TS38.133 3GPP – NR </w:t>
      </w:r>
      <w:r w:rsidRPr="00FC2926">
        <w:rPr>
          <w:sz w:val="18"/>
        </w:rPr>
        <w:t>Requirements for support of radio resource management</w:t>
      </w:r>
      <w:r>
        <w:rPr>
          <w:sz w:val="18"/>
        </w:rPr>
        <w:t xml:space="preserve"> (Rel-16)</w:t>
      </w:r>
    </w:p>
    <w:p w14:paraId="5573C7F0" w14:textId="77777777" w:rsidR="00347C4D" w:rsidRDefault="00347C4D" w:rsidP="00347C4D">
      <w:pPr>
        <w:rPr>
          <w:sz w:val="18"/>
        </w:rPr>
      </w:pPr>
    </w:p>
    <w:p w14:paraId="55CA1F8C" w14:textId="77777777" w:rsidR="00347C4D" w:rsidRDefault="00347C4D" w:rsidP="00347C4D">
      <w:pPr>
        <w:rPr>
          <w:sz w:val="18"/>
        </w:rPr>
      </w:pPr>
    </w:p>
    <w:p w14:paraId="46292423" w14:textId="77777777" w:rsidR="00347C4D" w:rsidRDefault="00347C4D" w:rsidP="00347C4D">
      <w:pPr>
        <w:overflowPunct/>
        <w:autoSpaceDE/>
        <w:autoSpaceDN/>
        <w:adjustRightInd/>
        <w:spacing w:after="0"/>
        <w:textAlignment w:val="auto"/>
        <w:rPr>
          <w:rStyle w:val="Heading1Char"/>
        </w:rPr>
      </w:pPr>
    </w:p>
    <w:p w14:paraId="4F47C11C" w14:textId="22DCA1E7" w:rsidR="0001381F" w:rsidRPr="00347C4D" w:rsidRDefault="0001381F" w:rsidP="00347C4D">
      <w:pPr>
        <w:rPr>
          <w:rStyle w:val="Heading1Char"/>
          <w:rFonts w:ascii="Times New Roman" w:hAnsi="Times New Roman"/>
          <w:sz w:val="20"/>
        </w:rPr>
      </w:pPr>
    </w:p>
    <w:sectPr w:rsidR="0001381F" w:rsidRPr="00347C4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5F226" w14:textId="77777777" w:rsidR="00E36AB2" w:rsidRDefault="00E36AB2">
      <w:pPr>
        <w:spacing w:after="0"/>
      </w:pPr>
      <w:r>
        <w:separator/>
      </w:r>
    </w:p>
  </w:endnote>
  <w:endnote w:type="continuationSeparator" w:id="0">
    <w:p w14:paraId="331B237D" w14:textId="77777777" w:rsidR="00E36AB2" w:rsidRDefault="00E36AB2">
      <w:pPr>
        <w:spacing w:after="0"/>
      </w:pPr>
      <w:r>
        <w:continuationSeparator/>
      </w:r>
    </w:p>
  </w:endnote>
  <w:endnote w:type="continuationNotice" w:id="1">
    <w:p w14:paraId="6AD6104D" w14:textId="77777777" w:rsidR="00E36AB2" w:rsidRDefault="00E36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A75C3" w14:textId="77777777" w:rsidR="004D3D3F" w:rsidRDefault="004D3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4902B" w14:textId="77777777" w:rsidR="004D3D3F" w:rsidRDefault="004D3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6767D" w14:textId="77777777" w:rsidR="004D3D3F" w:rsidRDefault="004D3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C4E0B" w14:textId="77777777" w:rsidR="00E36AB2" w:rsidRDefault="00E36AB2">
      <w:pPr>
        <w:spacing w:after="0"/>
      </w:pPr>
      <w:r>
        <w:separator/>
      </w:r>
    </w:p>
  </w:footnote>
  <w:footnote w:type="continuationSeparator" w:id="0">
    <w:p w14:paraId="63737FB0" w14:textId="77777777" w:rsidR="00E36AB2" w:rsidRDefault="00E36AB2">
      <w:pPr>
        <w:spacing w:after="0"/>
      </w:pPr>
      <w:r>
        <w:continuationSeparator/>
      </w:r>
    </w:p>
  </w:footnote>
  <w:footnote w:type="continuationNotice" w:id="1">
    <w:p w14:paraId="6671C58B" w14:textId="77777777" w:rsidR="00E36AB2" w:rsidRDefault="00E36A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BD12B" w14:textId="77777777" w:rsidR="004D3D3F" w:rsidRDefault="004D3D3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D3A05" w14:textId="77777777" w:rsidR="004D3D3F" w:rsidRDefault="004D3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8A2F0" w14:textId="77777777" w:rsidR="004D3D3F" w:rsidRDefault="004D3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720F3"/>
    <w:multiLevelType w:val="hybridMultilevel"/>
    <w:tmpl w:val="ABA43DF0"/>
    <w:lvl w:ilvl="0" w:tplc="48DC943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10104"/>
    <w:multiLevelType w:val="hybridMultilevel"/>
    <w:tmpl w:val="387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41CB6"/>
    <w:multiLevelType w:val="hybridMultilevel"/>
    <w:tmpl w:val="5E320FD2"/>
    <w:lvl w:ilvl="0" w:tplc="5DD2C85C">
      <w:start w:val="1"/>
      <w:numFmt w:val="bullet"/>
      <w:lvlText w:val="•"/>
      <w:lvlJc w:val="left"/>
      <w:pPr>
        <w:tabs>
          <w:tab w:val="num" w:pos="720"/>
        </w:tabs>
        <w:ind w:left="720" w:hanging="360"/>
      </w:pPr>
      <w:rPr>
        <w:rFonts w:ascii="Arial" w:hAnsi="Arial" w:hint="default"/>
      </w:rPr>
    </w:lvl>
    <w:lvl w:ilvl="1" w:tplc="0E867A1E" w:tentative="1">
      <w:start w:val="1"/>
      <w:numFmt w:val="bullet"/>
      <w:lvlText w:val="•"/>
      <w:lvlJc w:val="left"/>
      <w:pPr>
        <w:tabs>
          <w:tab w:val="num" w:pos="1440"/>
        </w:tabs>
        <w:ind w:left="1440" w:hanging="360"/>
      </w:pPr>
      <w:rPr>
        <w:rFonts w:ascii="Arial" w:hAnsi="Arial" w:hint="default"/>
      </w:rPr>
    </w:lvl>
    <w:lvl w:ilvl="2" w:tplc="72104368" w:tentative="1">
      <w:start w:val="1"/>
      <w:numFmt w:val="bullet"/>
      <w:lvlText w:val="•"/>
      <w:lvlJc w:val="left"/>
      <w:pPr>
        <w:tabs>
          <w:tab w:val="num" w:pos="2160"/>
        </w:tabs>
        <w:ind w:left="2160" w:hanging="360"/>
      </w:pPr>
      <w:rPr>
        <w:rFonts w:ascii="Arial" w:hAnsi="Arial" w:hint="default"/>
      </w:rPr>
    </w:lvl>
    <w:lvl w:ilvl="3" w:tplc="61625464" w:tentative="1">
      <w:start w:val="1"/>
      <w:numFmt w:val="bullet"/>
      <w:lvlText w:val="•"/>
      <w:lvlJc w:val="left"/>
      <w:pPr>
        <w:tabs>
          <w:tab w:val="num" w:pos="2880"/>
        </w:tabs>
        <w:ind w:left="2880" w:hanging="360"/>
      </w:pPr>
      <w:rPr>
        <w:rFonts w:ascii="Arial" w:hAnsi="Arial" w:hint="default"/>
      </w:rPr>
    </w:lvl>
    <w:lvl w:ilvl="4" w:tplc="FC0CEBC8" w:tentative="1">
      <w:start w:val="1"/>
      <w:numFmt w:val="bullet"/>
      <w:lvlText w:val="•"/>
      <w:lvlJc w:val="left"/>
      <w:pPr>
        <w:tabs>
          <w:tab w:val="num" w:pos="3600"/>
        </w:tabs>
        <w:ind w:left="3600" w:hanging="360"/>
      </w:pPr>
      <w:rPr>
        <w:rFonts w:ascii="Arial" w:hAnsi="Arial" w:hint="default"/>
      </w:rPr>
    </w:lvl>
    <w:lvl w:ilvl="5" w:tplc="F10ABEAC" w:tentative="1">
      <w:start w:val="1"/>
      <w:numFmt w:val="bullet"/>
      <w:lvlText w:val="•"/>
      <w:lvlJc w:val="left"/>
      <w:pPr>
        <w:tabs>
          <w:tab w:val="num" w:pos="4320"/>
        </w:tabs>
        <w:ind w:left="4320" w:hanging="360"/>
      </w:pPr>
      <w:rPr>
        <w:rFonts w:ascii="Arial" w:hAnsi="Arial" w:hint="default"/>
      </w:rPr>
    </w:lvl>
    <w:lvl w:ilvl="6" w:tplc="7F5EB1B6" w:tentative="1">
      <w:start w:val="1"/>
      <w:numFmt w:val="bullet"/>
      <w:lvlText w:val="•"/>
      <w:lvlJc w:val="left"/>
      <w:pPr>
        <w:tabs>
          <w:tab w:val="num" w:pos="5040"/>
        </w:tabs>
        <w:ind w:left="5040" w:hanging="360"/>
      </w:pPr>
      <w:rPr>
        <w:rFonts w:ascii="Arial" w:hAnsi="Arial" w:hint="default"/>
      </w:rPr>
    </w:lvl>
    <w:lvl w:ilvl="7" w:tplc="2AB011D0" w:tentative="1">
      <w:start w:val="1"/>
      <w:numFmt w:val="bullet"/>
      <w:lvlText w:val="•"/>
      <w:lvlJc w:val="left"/>
      <w:pPr>
        <w:tabs>
          <w:tab w:val="num" w:pos="5760"/>
        </w:tabs>
        <w:ind w:left="5760" w:hanging="360"/>
      </w:pPr>
      <w:rPr>
        <w:rFonts w:ascii="Arial" w:hAnsi="Arial" w:hint="default"/>
      </w:rPr>
    </w:lvl>
    <w:lvl w:ilvl="8" w:tplc="A5567C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8F5575"/>
    <w:multiLevelType w:val="hybridMultilevel"/>
    <w:tmpl w:val="3EC8F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A22C12"/>
    <w:multiLevelType w:val="hybridMultilevel"/>
    <w:tmpl w:val="F36065CA"/>
    <w:lvl w:ilvl="0" w:tplc="94CCEAAC">
      <w:start w:val="1"/>
      <w:numFmt w:val="bullet"/>
      <w:lvlText w:val="•"/>
      <w:lvlJc w:val="left"/>
      <w:pPr>
        <w:tabs>
          <w:tab w:val="num" w:pos="720"/>
        </w:tabs>
        <w:ind w:left="720" w:hanging="360"/>
      </w:pPr>
      <w:rPr>
        <w:rFonts w:ascii="Arial" w:hAnsi="Arial" w:hint="default"/>
      </w:rPr>
    </w:lvl>
    <w:lvl w:ilvl="1" w:tplc="7188FC2A">
      <w:numFmt w:val="bullet"/>
      <w:lvlText w:val="◦"/>
      <w:lvlJc w:val="left"/>
      <w:pPr>
        <w:tabs>
          <w:tab w:val="num" w:pos="1440"/>
        </w:tabs>
        <w:ind w:left="1440" w:hanging="360"/>
      </w:pPr>
      <w:rPr>
        <w:rFonts w:ascii="Microsoft Sans Serif" w:hAnsi="Microsoft Sans Serif" w:hint="default"/>
      </w:rPr>
    </w:lvl>
    <w:lvl w:ilvl="2" w:tplc="72C80538" w:tentative="1">
      <w:start w:val="1"/>
      <w:numFmt w:val="bullet"/>
      <w:lvlText w:val="•"/>
      <w:lvlJc w:val="left"/>
      <w:pPr>
        <w:tabs>
          <w:tab w:val="num" w:pos="2160"/>
        </w:tabs>
        <w:ind w:left="2160" w:hanging="360"/>
      </w:pPr>
      <w:rPr>
        <w:rFonts w:ascii="Arial" w:hAnsi="Arial" w:hint="default"/>
      </w:rPr>
    </w:lvl>
    <w:lvl w:ilvl="3" w:tplc="9F5C0B8E" w:tentative="1">
      <w:start w:val="1"/>
      <w:numFmt w:val="bullet"/>
      <w:lvlText w:val="•"/>
      <w:lvlJc w:val="left"/>
      <w:pPr>
        <w:tabs>
          <w:tab w:val="num" w:pos="2880"/>
        </w:tabs>
        <w:ind w:left="2880" w:hanging="360"/>
      </w:pPr>
      <w:rPr>
        <w:rFonts w:ascii="Arial" w:hAnsi="Arial" w:hint="default"/>
      </w:rPr>
    </w:lvl>
    <w:lvl w:ilvl="4" w:tplc="BE5C485A" w:tentative="1">
      <w:start w:val="1"/>
      <w:numFmt w:val="bullet"/>
      <w:lvlText w:val="•"/>
      <w:lvlJc w:val="left"/>
      <w:pPr>
        <w:tabs>
          <w:tab w:val="num" w:pos="3600"/>
        </w:tabs>
        <w:ind w:left="3600" w:hanging="360"/>
      </w:pPr>
      <w:rPr>
        <w:rFonts w:ascii="Arial" w:hAnsi="Arial" w:hint="default"/>
      </w:rPr>
    </w:lvl>
    <w:lvl w:ilvl="5" w:tplc="1F4ADF3C" w:tentative="1">
      <w:start w:val="1"/>
      <w:numFmt w:val="bullet"/>
      <w:lvlText w:val="•"/>
      <w:lvlJc w:val="left"/>
      <w:pPr>
        <w:tabs>
          <w:tab w:val="num" w:pos="4320"/>
        </w:tabs>
        <w:ind w:left="4320" w:hanging="360"/>
      </w:pPr>
      <w:rPr>
        <w:rFonts w:ascii="Arial" w:hAnsi="Arial" w:hint="default"/>
      </w:rPr>
    </w:lvl>
    <w:lvl w:ilvl="6" w:tplc="9906ED6A" w:tentative="1">
      <w:start w:val="1"/>
      <w:numFmt w:val="bullet"/>
      <w:lvlText w:val="•"/>
      <w:lvlJc w:val="left"/>
      <w:pPr>
        <w:tabs>
          <w:tab w:val="num" w:pos="5040"/>
        </w:tabs>
        <w:ind w:left="5040" w:hanging="360"/>
      </w:pPr>
      <w:rPr>
        <w:rFonts w:ascii="Arial" w:hAnsi="Arial" w:hint="default"/>
      </w:rPr>
    </w:lvl>
    <w:lvl w:ilvl="7" w:tplc="B890F61C" w:tentative="1">
      <w:start w:val="1"/>
      <w:numFmt w:val="bullet"/>
      <w:lvlText w:val="•"/>
      <w:lvlJc w:val="left"/>
      <w:pPr>
        <w:tabs>
          <w:tab w:val="num" w:pos="5760"/>
        </w:tabs>
        <w:ind w:left="5760" w:hanging="360"/>
      </w:pPr>
      <w:rPr>
        <w:rFonts w:ascii="Arial" w:hAnsi="Arial" w:hint="default"/>
      </w:rPr>
    </w:lvl>
    <w:lvl w:ilvl="8" w:tplc="13F4C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394E76"/>
    <w:multiLevelType w:val="hybridMultilevel"/>
    <w:tmpl w:val="902C7F58"/>
    <w:lvl w:ilvl="0" w:tplc="EA1E218E">
      <w:start w:val="1"/>
      <w:numFmt w:val="bullet"/>
      <w:lvlText w:val="•"/>
      <w:lvlJc w:val="left"/>
      <w:pPr>
        <w:tabs>
          <w:tab w:val="num" w:pos="720"/>
        </w:tabs>
        <w:ind w:left="720" w:hanging="360"/>
      </w:pPr>
      <w:rPr>
        <w:rFonts w:ascii="Arial" w:hAnsi="Arial" w:hint="default"/>
      </w:rPr>
    </w:lvl>
    <w:lvl w:ilvl="1" w:tplc="BFE2B700">
      <w:start w:val="1"/>
      <w:numFmt w:val="bullet"/>
      <w:lvlText w:val="•"/>
      <w:lvlJc w:val="left"/>
      <w:pPr>
        <w:tabs>
          <w:tab w:val="num" w:pos="1440"/>
        </w:tabs>
        <w:ind w:left="1440" w:hanging="360"/>
      </w:pPr>
      <w:rPr>
        <w:rFonts w:ascii="Arial" w:hAnsi="Arial" w:hint="default"/>
      </w:rPr>
    </w:lvl>
    <w:lvl w:ilvl="2" w:tplc="270675E0">
      <w:numFmt w:val="bullet"/>
      <w:lvlText w:val="•"/>
      <w:lvlJc w:val="left"/>
      <w:pPr>
        <w:tabs>
          <w:tab w:val="num" w:pos="2160"/>
        </w:tabs>
        <w:ind w:left="2160" w:hanging="360"/>
      </w:pPr>
      <w:rPr>
        <w:rFonts w:ascii="Microsoft Sans Serif" w:hAnsi="Microsoft Sans Serif" w:hint="default"/>
      </w:rPr>
    </w:lvl>
    <w:lvl w:ilvl="3" w:tplc="79AE681C" w:tentative="1">
      <w:start w:val="1"/>
      <w:numFmt w:val="bullet"/>
      <w:lvlText w:val="•"/>
      <w:lvlJc w:val="left"/>
      <w:pPr>
        <w:tabs>
          <w:tab w:val="num" w:pos="2880"/>
        </w:tabs>
        <w:ind w:left="2880" w:hanging="360"/>
      </w:pPr>
      <w:rPr>
        <w:rFonts w:ascii="Arial" w:hAnsi="Arial" w:hint="default"/>
      </w:rPr>
    </w:lvl>
    <w:lvl w:ilvl="4" w:tplc="98265F48" w:tentative="1">
      <w:start w:val="1"/>
      <w:numFmt w:val="bullet"/>
      <w:lvlText w:val="•"/>
      <w:lvlJc w:val="left"/>
      <w:pPr>
        <w:tabs>
          <w:tab w:val="num" w:pos="3600"/>
        </w:tabs>
        <w:ind w:left="3600" w:hanging="360"/>
      </w:pPr>
      <w:rPr>
        <w:rFonts w:ascii="Arial" w:hAnsi="Arial" w:hint="default"/>
      </w:rPr>
    </w:lvl>
    <w:lvl w:ilvl="5" w:tplc="D7E6537E" w:tentative="1">
      <w:start w:val="1"/>
      <w:numFmt w:val="bullet"/>
      <w:lvlText w:val="•"/>
      <w:lvlJc w:val="left"/>
      <w:pPr>
        <w:tabs>
          <w:tab w:val="num" w:pos="4320"/>
        </w:tabs>
        <w:ind w:left="4320" w:hanging="360"/>
      </w:pPr>
      <w:rPr>
        <w:rFonts w:ascii="Arial" w:hAnsi="Arial" w:hint="default"/>
      </w:rPr>
    </w:lvl>
    <w:lvl w:ilvl="6" w:tplc="698EF842" w:tentative="1">
      <w:start w:val="1"/>
      <w:numFmt w:val="bullet"/>
      <w:lvlText w:val="•"/>
      <w:lvlJc w:val="left"/>
      <w:pPr>
        <w:tabs>
          <w:tab w:val="num" w:pos="5040"/>
        </w:tabs>
        <w:ind w:left="5040" w:hanging="360"/>
      </w:pPr>
      <w:rPr>
        <w:rFonts w:ascii="Arial" w:hAnsi="Arial" w:hint="default"/>
      </w:rPr>
    </w:lvl>
    <w:lvl w:ilvl="7" w:tplc="AAF02466" w:tentative="1">
      <w:start w:val="1"/>
      <w:numFmt w:val="bullet"/>
      <w:lvlText w:val="•"/>
      <w:lvlJc w:val="left"/>
      <w:pPr>
        <w:tabs>
          <w:tab w:val="num" w:pos="5760"/>
        </w:tabs>
        <w:ind w:left="5760" w:hanging="360"/>
      </w:pPr>
      <w:rPr>
        <w:rFonts w:ascii="Arial" w:hAnsi="Arial" w:hint="default"/>
      </w:rPr>
    </w:lvl>
    <w:lvl w:ilvl="8" w:tplc="E1762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62419"/>
    <w:multiLevelType w:val="hybridMultilevel"/>
    <w:tmpl w:val="329AC75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4D4512"/>
    <w:multiLevelType w:val="hybridMultilevel"/>
    <w:tmpl w:val="2690C88A"/>
    <w:lvl w:ilvl="0" w:tplc="0EFC4C48">
      <w:start w:val="1"/>
      <w:numFmt w:val="bullet"/>
      <w:lvlText w:val="•"/>
      <w:lvlJc w:val="left"/>
      <w:pPr>
        <w:tabs>
          <w:tab w:val="num" w:pos="720"/>
        </w:tabs>
        <w:ind w:left="720" w:hanging="360"/>
      </w:pPr>
      <w:rPr>
        <w:rFonts w:ascii="Arial" w:hAnsi="Arial" w:hint="default"/>
      </w:rPr>
    </w:lvl>
    <w:lvl w:ilvl="1" w:tplc="DEB4557C">
      <w:numFmt w:val="bullet"/>
      <w:lvlText w:val="◦"/>
      <w:lvlJc w:val="left"/>
      <w:pPr>
        <w:tabs>
          <w:tab w:val="num" w:pos="1440"/>
        </w:tabs>
        <w:ind w:left="1440" w:hanging="360"/>
      </w:pPr>
      <w:rPr>
        <w:rFonts w:ascii="Microsoft Sans Serif" w:hAnsi="Microsoft Sans Serif" w:hint="default"/>
      </w:rPr>
    </w:lvl>
    <w:lvl w:ilvl="2" w:tplc="E7180AD2" w:tentative="1">
      <w:start w:val="1"/>
      <w:numFmt w:val="bullet"/>
      <w:lvlText w:val="•"/>
      <w:lvlJc w:val="left"/>
      <w:pPr>
        <w:tabs>
          <w:tab w:val="num" w:pos="2160"/>
        </w:tabs>
        <w:ind w:left="2160" w:hanging="360"/>
      </w:pPr>
      <w:rPr>
        <w:rFonts w:ascii="Arial" w:hAnsi="Arial" w:hint="default"/>
      </w:rPr>
    </w:lvl>
    <w:lvl w:ilvl="3" w:tplc="6F8A6A74" w:tentative="1">
      <w:start w:val="1"/>
      <w:numFmt w:val="bullet"/>
      <w:lvlText w:val="•"/>
      <w:lvlJc w:val="left"/>
      <w:pPr>
        <w:tabs>
          <w:tab w:val="num" w:pos="2880"/>
        </w:tabs>
        <w:ind w:left="2880" w:hanging="360"/>
      </w:pPr>
      <w:rPr>
        <w:rFonts w:ascii="Arial" w:hAnsi="Arial" w:hint="default"/>
      </w:rPr>
    </w:lvl>
    <w:lvl w:ilvl="4" w:tplc="609CC5C0" w:tentative="1">
      <w:start w:val="1"/>
      <w:numFmt w:val="bullet"/>
      <w:lvlText w:val="•"/>
      <w:lvlJc w:val="left"/>
      <w:pPr>
        <w:tabs>
          <w:tab w:val="num" w:pos="3600"/>
        </w:tabs>
        <w:ind w:left="3600" w:hanging="360"/>
      </w:pPr>
      <w:rPr>
        <w:rFonts w:ascii="Arial" w:hAnsi="Arial" w:hint="default"/>
      </w:rPr>
    </w:lvl>
    <w:lvl w:ilvl="5" w:tplc="037CF3FA" w:tentative="1">
      <w:start w:val="1"/>
      <w:numFmt w:val="bullet"/>
      <w:lvlText w:val="•"/>
      <w:lvlJc w:val="left"/>
      <w:pPr>
        <w:tabs>
          <w:tab w:val="num" w:pos="4320"/>
        </w:tabs>
        <w:ind w:left="4320" w:hanging="360"/>
      </w:pPr>
      <w:rPr>
        <w:rFonts w:ascii="Arial" w:hAnsi="Arial" w:hint="default"/>
      </w:rPr>
    </w:lvl>
    <w:lvl w:ilvl="6" w:tplc="64EABF86" w:tentative="1">
      <w:start w:val="1"/>
      <w:numFmt w:val="bullet"/>
      <w:lvlText w:val="•"/>
      <w:lvlJc w:val="left"/>
      <w:pPr>
        <w:tabs>
          <w:tab w:val="num" w:pos="5040"/>
        </w:tabs>
        <w:ind w:left="5040" w:hanging="360"/>
      </w:pPr>
      <w:rPr>
        <w:rFonts w:ascii="Arial" w:hAnsi="Arial" w:hint="default"/>
      </w:rPr>
    </w:lvl>
    <w:lvl w:ilvl="7" w:tplc="FF587588" w:tentative="1">
      <w:start w:val="1"/>
      <w:numFmt w:val="bullet"/>
      <w:lvlText w:val="•"/>
      <w:lvlJc w:val="left"/>
      <w:pPr>
        <w:tabs>
          <w:tab w:val="num" w:pos="5760"/>
        </w:tabs>
        <w:ind w:left="5760" w:hanging="360"/>
      </w:pPr>
      <w:rPr>
        <w:rFonts w:ascii="Arial" w:hAnsi="Arial" w:hint="default"/>
      </w:rPr>
    </w:lvl>
    <w:lvl w:ilvl="8" w:tplc="5E1272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EF5036"/>
    <w:multiLevelType w:val="hybridMultilevel"/>
    <w:tmpl w:val="D3B6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11925"/>
    <w:multiLevelType w:val="hybridMultilevel"/>
    <w:tmpl w:val="8C9CD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E4A58"/>
    <w:multiLevelType w:val="hybridMultilevel"/>
    <w:tmpl w:val="9ED27BD8"/>
    <w:lvl w:ilvl="0" w:tplc="ACE2DC0E">
      <w:start w:val="1"/>
      <w:numFmt w:val="bullet"/>
      <w:lvlText w:val="•"/>
      <w:lvlJc w:val="left"/>
      <w:pPr>
        <w:tabs>
          <w:tab w:val="num" w:pos="720"/>
        </w:tabs>
        <w:ind w:left="720" w:hanging="360"/>
      </w:pPr>
      <w:rPr>
        <w:rFonts w:ascii="Arial" w:hAnsi="Arial" w:hint="default"/>
      </w:rPr>
    </w:lvl>
    <w:lvl w:ilvl="1" w:tplc="871A8D76">
      <w:numFmt w:val="bullet"/>
      <w:lvlText w:val="◦"/>
      <w:lvlJc w:val="left"/>
      <w:pPr>
        <w:tabs>
          <w:tab w:val="num" w:pos="1440"/>
        </w:tabs>
        <w:ind w:left="1440" w:hanging="360"/>
      </w:pPr>
      <w:rPr>
        <w:rFonts w:ascii="Microsoft Sans Serif" w:hAnsi="Microsoft Sans Serif" w:hint="default"/>
      </w:rPr>
    </w:lvl>
    <w:lvl w:ilvl="2" w:tplc="6EA2C094">
      <w:numFmt w:val="bullet"/>
      <w:lvlText w:val="•"/>
      <w:lvlJc w:val="left"/>
      <w:pPr>
        <w:tabs>
          <w:tab w:val="num" w:pos="2160"/>
        </w:tabs>
        <w:ind w:left="2160" w:hanging="360"/>
      </w:pPr>
      <w:rPr>
        <w:rFonts w:ascii="Microsoft Sans Serif" w:hAnsi="Microsoft Sans Serif" w:hint="default"/>
      </w:rPr>
    </w:lvl>
    <w:lvl w:ilvl="3" w:tplc="8AA8E9B4" w:tentative="1">
      <w:start w:val="1"/>
      <w:numFmt w:val="bullet"/>
      <w:lvlText w:val="•"/>
      <w:lvlJc w:val="left"/>
      <w:pPr>
        <w:tabs>
          <w:tab w:val="num" w:pos="2880"/>
        </w:tabs>
        <w:ind w:left="2880" w:hanging="360"/>
      </w:pPr>
      <w:rPr>
        <w:rFonts w:ascii="Arial" w:hAnsi="Arial" w:hint="default"/>
      </w:rPr>
    </w:lvl>
    <w:lvl w:ilvl="4" w:tplc="4BCADC58" w:tentative="1">
      <w:start w:val="1"/>
      <w:numFmt w:val="bullet"/>
      <w:lvlText w:val="•"/>
      <w:lvlJc w:val="left"/>
      <w:pPr>
        <w:tabs>
          <w:tab w:val="num" w:pos="3600"/>
        </w:tabs>
        <w:ind w:left="3600" w:hanging="360"/>
      </w:pPr>
      <w:rPr>
        <w:rFonts w:ascii="Arial" w:hAnsi="Arial" w:hint="default"/>
      </w:rPr>
    </w:lvl>
    <w:lvl w:ilvl="5" w:tplc="DA7083C0" w:tentative="1">
      <w:start w:val="1"/>
      <w:numFmt w:val="bullet"/>
      <w:lvlText w:val="•"/>
      <w:lvlJc w:val="left"/>
      <w:pPr>
        <w:tabs>
          <w:tab w:val="num" w:pos="4320"/>
        </w:tabs>
        <w:ind w:left="4320" w:hanging="360"/>
      </w:pPr>
      <w:rPr>
        <w:rFonts w:ascii="Arial" w:hAnsi="Arial" w:hint="default"/>
      </w:rPr>
    </w:lvl>
    <w:lvl w:ilvl="6" w:tplc="E910CD42" w:tentative="1">
      <w:start w:val="1"/>
      <w:numFmt w:val="bullet"/>
      <w:lvlText w:val="•"/>
      <w:lvlJc w:val="left"/>
      <w:pPr>
        <w:tabs>
          <w:tab w:val="num" w:pos="5040"/>
        </w:tabs>
        <w:ind w:left="5040" w:hanging="360"/>
      </w:pPr>
      <w:rPr>
        <w:rFonts w:ascii="Arial" w:hAnsi="Arial" w:hint="default"/>
      </w:rPr>
    </w:lvl>
    <w:lvl w:ilvl="7" w:tplc="E7427D20" w:tentative="1">
      <w:start w:val="1"/>
      <w:numFmt w:val="bullet"/>
      <w:lvlText w:val="•"/>
      <w:lvlJc w:val="left"/>
      <w:pPr>
        <w:tabs>
          <w:tab w:val="num" w:pos="5760"/>
        </w:tabs>
        <w:ind w:left="5760" w:hanging="360"/>
      </w:pPr>
      <w:rPr>
        <w:rFonts w:ascii="Arial" w:hAnsi="Arial" w:hint="default"/>
      </w:rPr>
    </w:lvl>
    <w:lvl w:ilvl="8" w:tplc="A914CF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4B5030"/>
    <w:multiLevelType w:val="hybridMultilevel"/>
    <w:tmpl w:val="F9B2C0C0"/>
    <w:lvl w:ilvl="0" w:tplc="23E08F90">
      <w:start w:val="1"/>
      <w:numFmt w:val="bullet"/>
      <w:lvlText w:val="•"/>
      <w:lvlJc w:val="left"/>
      <w:pPr>
        <w:tabs>
          <w:tab w:val="num" w:pos="720"/>
        </w:tabs>
        <w:ind w:left="720" w:hanging="360"/>
      </w:pPr>
      <w:rPr>
        <w:rFonts w:ascii="Arial" w:hAnsi="Arial" w:hint="default"/>
      </w:rPr>
    </w:lvl>
    <w:lvl w:ilvl="1" w:tplc="EB8032CA">
      <w:numFmt w:val="bullet"/>
      <w:lvlText w:val="◦"/>
      <w:lvlJc w:val="left"/>
      <w:pPr>
        <w:tabs>
          <w:tab w:val="num" w:pos="1440"/>
        </w:tabs>
        <w:ind w:left="1440" w:hanging="360"/>
      </w:pPr>
      <w:rPr>
        <w:rFonts w:ascii="Microsoft Sans Serif" w:hAnsi="Microsoft Sans Serif" w:hint="default"/>
      </w:rPr>
    </w:lvl>
    <w:lvl w:ilvl="2" w:tplc="B5FE675A" w:tentative="1">
      <w:start w:val="1"/>
      <w:numFmt w:val="bullet"/>
      <w:lvlText w:val="•"/>
      <w:lvlJc w:val="left"/>
      <w:pPr>
        <w:tabs>
          <w:tab w:val="num" w:pos="2160"/>
        </w:tabs>
        <w:ind w:left="2160" w:hanging="360"/>
      </w:pPr>
      <w:rPr>
        <w:rFonts w:ascii="Arial" w:hAnsi="Arial" w:hint="default"/>
      </w:rPr>
    </w:lvl>
    <w:lvl w:ilvl="3" w:tplc="64CECBBE" w:tentative="1">
      <w:start w:val="1"/>
      <w:numFmt w:val="bullet"/>
      <w:lvlText w:val="•"/>
      <w:lvlJc w:val="left"/>
      <w:pPr>
        <w:tabs>
          <w:tab w:val="num" w:pos="2880"/>
        </w:tabs>
        <w:ind w:left="2880" w:hanging="360"/>
      </w:pPr>
      <w:rPr>
        <w:rFonts w:ascii="Arial" w:hAnsi="Arial" w:hint="default"/>
      </w:rPr>
    </w:lvl>
    <w:lvl w:ilvl="4" w:tplc="C01C7382" w:tentative="1">
      <w:start w:val="1"/>
      <w:numFmt w:val="bullet"/>
      <w:lvlText w:val="•"/>
      <w:lvlJc w:val="left"/>
      <w:pPr>
        <w:tabs>
          <w:tab w:val="num" w:pos="3600"/>
        </w:tabs>
        <w:ind w:left="3600" w:hanging="360"/>
      </w:pPr>
      <w:rPr>
        <w:rFonts w:ascii="Arial" w:hAnsi="Arial" w:hint="default"/>
      </w:rPr>
    </w:lvl>
    <w:lvl w:ilvl="5" w:tplc="DE02A4C4" w:tentative="1">
      <w:start w:val="1"/>
      <w:numFmt w:val="bullet"/>
      <w:lvlText w:val="•"/>
      <w:lvlJc w:val="left"/>
      <w:pPr>
        <w:tabs>
          <w:tab w:val="num" w:pos="4320"/>
        </w:tabs>
        <w:ind w:left="4320" w:hanging="360"/>
      </w:pPr>
      <w:rPr>
        <w:rFonts w:ascii="Arial" w:hAnsi="Arial" w:hint="default"/>
      </w:rPr>
    </w:lvl>
    <w:lvl w:ilvl="6" w:tplc="6284BF44" w:tentative="1">
      <w:start w:val="1"/>
      <w:numFmt w:val="bullet"/>
      <w:lvlText w:val="•"/>
      <w:lvlJc w:val="left"/>
      <w:pPr>
        <w:tabs>
          <w:tab w:val="num" w:pos="5040"/>
        </w:tabs>
        <w:ind w:left="5040" w:hanging="360"/>
      </w:pPr>
      <w:rPr>
        <w:rFonts w:ascii="Arial" w:hAnsi="Arial" w:hint="default"/>
      </w:rPr>
    </w:lvl>
    <w:lvl w:ilvl="7" w:tplc="04A6BBC6" w:tentative="1">
      <w:start w:val="1"/>
      <w:numFmt w:val="bullet"/>
      <w:lvlText w:val="•"/>
      <w:lvlJc w:val="left"/>
      <w:pPr>
        <w:tabs>
          <w:tab w:val="num" w:pos="5760"/>
        </w:tabs>
        <w:ind w:left="5760" w:hanging="360"/>
      </w:pPr>
      <w:rPr>
        <w:rFonts w:ascii="Arial" w:hAnsi="Arial" w:hint="default"/>
      </w:rPr>
    </w:lvl>
    <w:lvl w:ilvl="8" w:tplc="485C86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8B47D2"/>
    <w:multiLevelType w:val="hybridMultilevel"/>
    <w:tmpl w:val="F03E0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004B2C"/>
    <w:multiLevelType w:val="hybridMultilevel"/>
    <w:tmpl w:val="30A697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0D367F"/>
    <w:multiLevelType w:val="hybridMultilevel"/>
    <w:tmpl w:val="CB2CF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F1375"/>
    <w:multiLevelType w:val="hybridMultilevel"/>
    <w:tmpl w:val="B2CCB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F613C"/>
    <w:multiLevelType w:val="hybridMultilevel"/>
    <w:tmpl w:val="AA5E5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6C1380"/>
    <w:multiLevelType w:val="hybridMultilevel"/>
    <w:tmpl w:val="6E0E7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A6979"/>
    <w:multiLevelType w:val="hybridMultilevel"/>
    <w:tmpl w:val="5122D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F80E6F"/>
    <w:multiLevelType w:val="hybridMultilevel"/>
    <w:tmpl w:val="D90E66D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42EA46A8"/>
    <w:multiLevelType w:val="hybridMultilevel"/>
    <w:tmpl w:val="9CF29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670E4E"/>
    <w:multiLevelType w:val="hybridMultilevel"/>
    <w:tmpl w:val="D130D842"/>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686450"/>
    <w:multiLevelType w:val="hybridMultilevel"/>
    <w:tmpl w:val="6E1C8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9071D"/>
    <w:multiLevelType w:val="hybridMultilevel"/>
    <w:tmpl w:val="84C86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047D31"/>
    <w:multiLevelType w:val="hybridMultilevel"/>
    <w:tmpl w:val="13202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E3FCF"/>
    <w:multiLevelType w:val="hybridMultilevel"/>
    <w:tmpl w:val="5A783F52"/>
    <w:lvl w:ilvl="0" w:tplc="7A36EBAC">
      <w:start w:val="1"/>
      <w:numFmt w:val="bullet"/>
      <w:lvlText w:val="•"/>
      <w:lvlJc w:val="left"/>
      <w:pPr>
        <w:tabs>
          <w:tab w:val="num" w:pos="720"/>
        </w:tabs>
        <w:ind w:left="720" w:hanging="360"/>
      </w:pPr>
      <w:rPr>
        <w:rFonts w:ascii="Arial" w:hAnsi="Arial" w:hint="default"/>
      </w:rPr>
    </w:lvl>
    <w:lvl w:ilvl="1" w:tplc="BFF0F826" w:tentative="1">
      <w:start w:val="1"/>
      <w:numFmt w:val="bullet"/>
      <w:lvlText w:val="•"/>
      <w:lvlJc w:val="left"/>
      <w:pPr>
        <w:tabs>
          <w:tab w:val="num" w:pos="1440"/>
        </w:tabs>
        <w:ind w:left="1440" w:hanging="360"/>
      </w:pPr>
      <w:rPr>
        <w:rFonts w:ascii="Arial" w:hAnsi="Arial" w:hint="default"/>
      </w:rPr>
    </w:lvl>
    <w:lvl w:ilvl="2" w:tplc="5596E26C" w:tentative="1">
      <w:start w:val="1"/>
      <w:numFmt w:val="bullet"/>
      <w:lvlText w:val="•"/>
      <w:lvlJc w:val="left"/>
      <w:pPr>
        <w:tabs>
          <w:tab w:val="num" w:pos="2160"/>
        </w:tabs>
        <w:ind w:left="2160" w:hanging="360"/>
      </w:pPr>
      <w:rPr>
        <w:rFonts w:ascii="Arial" w:hAnsi="Arial" w:hint="default"/>
      </w:rPr>
    </w:lvl>
    <w:lvl w:ilvl="3" w:tplc="D9C6FE70" w:tentative="1">
      <w:start w:val="1"/>
      <w:numFmt w:val="bullet"/>
      <w:lvlText w:val="•"/>
      <w:lvlJc w:val="left"/>
      <w:pPr>
        <w:tabs>
          <w:tab w:val="num" w:pos="2880"/>
        </w:tabs>
        <w:ind w:left="2880" w:hanging="360"/>
      </w:pPr>
      <w:rPr>
        <w:rFonts w:ascii="Arial" w:hAnsi="Arial" w:hint="default"/>
      </w:rPr>
    </w:lvl>
    <w:lvl w:ilvl="4" w:tplc="924AB89A" w:tentative="1">
      <w:start w:val="1"/>
      <w:numFmt w:val="bullet"/>
      <w:lvlText w:val="•"/>
      <w:lvlJc w:val="left"/>
      <w:pPr>
        <w:tabs>
          <w:tab w:val="num" w:pos="3600"/>
        </w:tabs>
        <w:ind w:left="3600" w:hanging="360"/>
      </w:pPr>
      <w:rPr>
        <w:rFonts w:ascii="Arial" w:hAnsi="Arial" w:hint="default"/>
      </w:rPr>
    </w:lvl>
    <w:lvl w:ilvl="5" w:tplc="721CF8A6" w:tentative="1">
      <w:start w:val="1"/>
      <w:numFmt w:val="bullet"/>
      <w:lvlText w:val="•"/>
      <w:lvlJc w:val="left"/>
      <w:pPr>
        <w:tabs>
          <w:tab w:val="num" w:pos="4320"/>
        </w:tabs>
        <w:ind w:left="4320" w:hanging="360"/>
      </w:pPr>
      <w:rPr>
        <w:rFonts w:ascii="Arial" w:hAnsi="Arial" w:hint="default"/>
      </w:rPr>
    </w:lvl>
    <w:lvl w:ilvl="6" w:tplc="97DA017A" w:tentative="1">
      <w:start w:val="1"/>
      <w:numFmt w:val="bullet"/>
      <w:lvlText w:val="•"/>
      <w:lvlJc w:val="left"/>
      <w:pPr>
        <w:tabs>
          <w:tab w:val="num" w:pos="5040"/>
        </w:tabs>
        <w:ind w:left="5040" w:hanging="360"/>
      </w:pPr>
      <w:rPr>
        <w:rFonts w:ascii="Arial" w:hAnsi="Arial" w:hint="default"/>
      </w:rPr>
    </w:lvl>
    <w:lvl w:ilvl="7" w:tplc="0F0A3CEC" w:tentative="1">
      <w:start w:val="1"/>
      <w:numFmt w:val="bullet"/>
      <w:lvlText w:val="•"/>
      <w:lvlJc w:val="left"/>
      <w:pPr>
        <w:tabs>
          <w:tab w:val="num" w:pos="5760"/>
        </w:tabs>
        <w:ind w:left="5760" w:hanging="360"/>
      </w:pPr>
      <w:rPr>
        <w:rFonts w:ascii="Arial" w:hAnsi="Arial" w:hint="default"/>
      </w:rPr>
    </w:lvl>
    <w:lvl w:ilvl="8" w:tplc="905EDD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8C065E"/>
    <w:multiLevelType w:val="hybridMultilevel"/>
    <w:tmpl w:val="00AC1FEE"/>
    <w:lvl w:ilvl="0" w:tplc="32DECA64">
      <w:start w:val="1"/>
      <w:numFmt w:val="bullet"/>
      <w:lvlText w:val="•"/>
      <w:lvlJc w:val="left"/>
      <w:pPr>
        <w:tabs>
          <w:tab w:val="num" w:pos="720"/>
        </w:tabs>
        <w:ind w:left="720" w:hanging="360"/>
      </w:pPr>
      <w:rPr>
        <w:rFonts w:ascii="Arial" w:hAnsi="Arial" w:hint="default"/>
      </w:rPr>
    </w:lvl>
    <w:lvl w:ilvl="1" w:tplc="FBCAFEC0">
      <w:numFmt w:val="bullet"/>
      <w:lvlText w:val="◦"/>
      <w:lvlJc w:val="left"/>
      <w:pPr>
        <w:tabs>
          <w:tab w:val="num" w:pos="1440"/>
        </w:tabs>
        <w:ind w:left="1440" w:hanging="360"/>
      </w:pPr>
      <w:rPr>
        <w:rFonts w:ascii="Microsoft Sans Serif" w:hAnsi="Microsoft Sans Serif" w:hint="default"/>
      </w:rPr>
    </w:lvl>
    <w:lvl w:ilvl="2" w:tplc="B18242A6" w:tentative="1">
      <w:start w:val="1"/>
      <w:numFmt w:val="bullet"/>
      <w:lvlText w:val="•"/>
      <w:lvlJc w:val="left"/>
      <w:pPr>
        <w:tabs>
          <w:tab w:val="num" w:pos="2160"/>
        </w:tabs>
        <w:ind w:left="2160" w:hanging="360"/>
      </w:pPr>
      <w:rPr>
        <w:rFonts w:ascii="Arial" w:hAnsi="Arial" w:hint="default"/>
      </w:rPr>
    </w:lvl>
    <w:lvl w:ilvl="3" w:tplc="425C2C28" w:tentative="1">
      <w:start w:val="1"/>
      <w:numFmt w:val="bullet"/>
      <w:lvlText w:val="•"/>
      <w:lvlJc w:val="left"/>
      <w:pPr>
        <w:tabs>
          <w:tab w:val="num" w:pos="2880"/>
        </w:tabs>
        <w:ind w:left="2880" w:hanging="360"/>
      </w:pPr>
      <w:rPr>
        <w:rFonts w:ascii="Arial" w:hAnsi="Arial" w:hint="default"/>
      </w:rPr>
    </w:lvl>
    <w:lvl w:ilvl="4" w:tplc="83D89078" w:tentative="1">
      <w:start w:val="1"/>
      <w:numFmt w:val="bullet"/>
      <w:lvlText w:val="•"/>
      <w:lvlJc w:val="left"/>
      <w:pPr>
        <w:tabs>
          <w:tab w:val="num" w:pos="3600"/>
        </w:tabs>
        <w:ind w:left="3600" w:hanging="360"/>
      </w:pPr>
      <w:rPr>
        <w:rFonts w:ascii="Arial" w:hAnsi="Arial" w:hint="default"/>
      </w:rPr>
    </w:lvl>
    <w:lvl w:ilvl="5" w:tplc="D94CB4B8" w:tentative="1">
      <w:start w:val="1"/>
      <w:numFmt w:val="bullet"/>
      <w:lvlText w:val="•"/>
      <w:lvlJc w:val="left"/>
      <w:pPr>
        <w:tabs>
          <w:tab w:val="num" w:pos="4320"/>
        </w:tabs>
        <w:ind w:left="4320" w:hanging="360"/>
      </w:pPr>
      <w:rPr>
        <w:rFonts w:ascii="Arial" w:hAnsi="Arial" w:hint="default"/>
      </w:rPr>
    </w:lvl>
    <w:lvl w:ilvl="6" w:tplc="A5F42A94" w:tentative="1">
      <w:start w:val="1"/>
      <w:numFmt w:val="bullet"/>
      <w:lvlText w:val="•"/>
      <w:lvlJc w:val="left"/>
      <w:pPr>
        <w:tabs>
          <w:tab w:val="num" w:pos="5040"/>
        </w:tabs>
        <w:ind w:left="5040" w:hanging="360"/>
      </w:pPr>
      <w:rPr>
        <w:rFonts w:ascii="Arial" w:hAnsi="Arial" w:hint="default"/>
      </w:rPr>
    </w:lvl>
    <w:lvl w:ilvl="7" w:tplc="E62819D0" w:tentative="1">
      <w:start w:val="1"/>
      <w:numFmt w:val="bullet"/>
      <w:lvlText w:val="•"/>
      <w:lvlJc w:val="left"/>
      <w:pPr>
        <w:tabs>
          <w:tab w:val="num" w:pos="5760"/>
        </w:tabs>
        <w:ind w:left="5760" w:hanging="360"/>
      </w:pPr>
      <w:rPr>
        <w:rFonts w:ascii="Arial" w:hAnsi="Arial" w:hint="default"/>
      </w:rPr>
    </w:lvl>
    <w:lvl w:ilvl="8" w:tplc="BE7A0A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6970FE"/>
    <w:multiLevelType w:val="hybridMultilevel"/>
    <w:tmpl w:val="6A06FFB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0A1CC9"/>
    <w:multiLevelType w:val="hybridMultilevel"/>
    <w:tmpl w:val="6A06FFB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E2B2BDF"/>
    <w:multiLevelType w:val="hybridMultilevel"/>
    <w:tmpl w:val="9678E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EE6A71"/>
    <w:multiLevelType w:val="hybridMultilevel"/>
    <w:tmpl w:val="8F2C270C"/>
    <w:lvl w:ilvl="0" w:tplc="6FA0BF68">
      <w:start w:val="1"/>
      <w:numFmt w:val="bullet"/>
      <w:lvlText w:val="•"/>
      <w:lvlJc w:val="left"/>
      <w:pPr>
        <w:tabs>
          <w:tab w:val="num" w:pos="720"/>
        </w:tabs>
        <w:ind w:left="720" w:hanging="360"/>
      </w:pPr>
      <w:rPr>
        <w:rFonts w:ascii="Arial" w:hAnsi="Arial" w:hint="default"/>
      </w:rPr>
    </w:lvl>
    <w:lvl w:ilvl="1" w:tplc="A6267FC6">
      <w:numFmt w:val="bullet"/>
      <w:lvlText w:val="◦"/>
      <w:lvlJc w:val="left"/>
      <w:pPr>
        <w:tabs>
          <w:tab w:val="num" w:pos="1440"/>
        </w:tabs>
        <w:ind w:left="1440" w:hanging="360"/>
      </w:pPr>
      <w:rPr>
        <w:rFonts w:ascii="Microsoft Sans Serif" w:hAnsi="Microsoft Sans Serif" w:hint="default"/>
      </w:rPr>
    </w:lvl>
    <w:lvl w:ilvl="2" w:tplc="70F02BE6" w:tentative="1">
      <w:start w:val="1"/>
      <w:numFmt w:val="bullet"/>
      <w:lvlText w:val="•"/>
      <w:lvlJc w:val="left"/>
      <w:pPr>
        <w:tabs>
          <w:tab w:val="num" w:pos="2160"/>
        </w:tabs>
        <w:ind w:left="2160" w:hanging="360"/>
      </w:pPr>
      <w:rPr>
        <w:rFonts w:ascii="Arial" w:hAnsi="Arial" w:hint="default"/>
      </w:rPr>
    </w:lvl>
    <w:lvl w:ilvl="3" w:tplc="7E4CCB96" w:tentative="1">
      <w:start w:val="1"/>
      <w:numFmt w:val="bullet"/>
      <w:lvlText w:val="•"/>
      <w:lvlJc w:val="left"/>
      <w:pPr>
        <w:tabs>
          <w:tab w:val="num" w:pos="2880"/>
        </w:tabs>
        <w:ind w:left="2880" w:hanging="360"/>
      </w:pPr>
      <w:rPr>
        <w:rFonts w:ascii="Arial" w:hAnsi="Arial" w:hint="default"/>
      </w:rPr>
    </w:lvl>
    <w:lvl w:ilvl="4" w:tplc="CC8E14AE" w:tentative="1">
      <w:start w:val="1"/>
      <w:numFmt w:val="bullet"/>
      <w:lvlText w:val="•"/>
      <w:lvlJc w:val="left"/>
      <w:pPr>
        <w:tabs>
          <w:tab w:val="num" w:pos="3600"/>
        </w:tabs>
        <w:ind w:left="3600" w:hanging="360"/>
      </w:pPr>
      <w:rPr>
        <w:rFonts w:ascii="Arial" w:hAnsi="Arial" w:hint="default"/>
      </w:rPr>
    </w:lvl>
    <w:lvl w:ilvl="5" w:tplc="D852413E" w:tentative="1">
      <w:start w:val="1"/>
      <w:numFmt w:val="bullet"/>
      <w:lvlText w:val="•"/>
      <w:lvlJc w:val="left"/>
      <w:pPr>
        <w:tabs>
          <w:tab w:val="num" w:pos="4320"/>
        </w:tabs>
        <w:ind w:left="4320" w:hanging="360"/>
      </w:pPr>
      <w:rPr>
        <w:rFonts w:ascii="Arial" w:hAnsi="Arial" w:hint="default"/>
      </w:rPr>
    </w:lvl>
    <w:lvl w:ilvl="6" w:tplc="7846B17E" w:tentative="1">
      <w:start w:val="1"/>
      <w:numFmt w:val="bullet"/>
      <w:lvlText w:val="•"/>
      <w:lvlJc w:val="left"/>
      <w:pPr>
        <w:tabs>
          <w:tab w:val="num" w:pos="5040"/>
        </w:tabs>
        <w:ind w:left="5040" w:hanging="360"/>
      </w:pPr>
      <w:rPr>
        <w:rFonts w:ascii="Arial" w:hAnsi="Arial" w:hint="default"/>
      </w:rPr>
    </w:lvl>
    <w:lvl w:ilvl="7" w:tplc="DF44DE62" w:tentative="1">
      <w:start w:val="1"/>
      <w:numFmt w:val="bullet"/>
      <w:lvlText w:val="•"/>
      <w:lvlJc w:val="left"/>
      <w:pPr>
        <w:tabs>
          <w:tab w:val="num" w:pos="5760"/>
        </w:tabs>
        <w:ind w:left="5760" w:hanging="360"/>
      </w:pPr>
      <w:rPr>
        <w:rFonts w:ascii="Arial" w:hAnsi="Arial" w:hint="default"/>
      </w:rPr>
    </w:lvl>
    <w:lvl w:ilvl="8" w:tplc="EF400F4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972C8A"/>
    <w:multiLevelType w:val="hybridMultilevel"/>
    <w:tmpl w:val="D968E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26234B"/>
    <w:multiLevelType w:val="hybridMultilevel"/>
    <w:tmpl w:val="4C3C1EB4"/>
    <w:lvl w:ilvl="0" w:tplc="54D02E70">
      <w:start w:val="1"/>
      <w:numFmt w:val="bullet"/>
      <w:lvlText w:val="•"/>
      <w:lvlJc w:val="left"/>
      <w:pPr>
        <w:tabs>
          <w:tab w:val="num" w:pos="720"/>
        </w:tabs>
        <w:ind w:left="720" w:hanging="360"/>
      </w:pPr>
      <w:rPr>
        <w:rFonts w:ascii="Arial" w:hAnsi="Arial" w:hint="default"/>
      </w:rPr>
    </w:lvl>
    <w:lvl w:ilvl="1" w:tplc="F0E88970" w:tentative="1">
      <w:start w:val="1"/>
      <w:numFmt w:val="bullet"/>
      <w:lvlText w:val="•"/>
      <w:lvlJc w:val="left"/>
      <w:pPr>
        <w:tabs>
          <w:tab w:val="num" w:pos="1440"/>
        </w:tabs>
        <w:ind w:left="1440" w:hanging="360"/>
      </w:pPr>
      <w:rPr>
        <w:rFonts w:ascii="Arial" w:hAnsi="Arial" w:hint="default"/>
      </w:rPr>
    </w:lvl>
    <w:lvl w:ilvl="2" w:tplc="F8C2DC2E" w:tentative="1">
      <w:start w:val="1"/>
      <w:numFmt w:val="bullet"/>
      <w:lvlText w:val="•"/>
      <w:lvlJc w:val="left"/>
      <w:pPr>
        <w:tabs>
          <w:tab w:val="num" w:pos="2160"/>
        </w:tabs>
        <w:ind w:left="2160" w:hanging="360"/>
      </w:pPr>
      <w:rPr>
        <w:rFonts w:ascii="Arial" w:hAnsi="Arial" w:hint="default"/>
      </w:rPr>
    </w:lvl>
    <w:lvl w:ilvl="3" w:tplc="59FA46A2" w:tentative="1">
      <w:start w:val="1"/>
      <w:numFmt w:val="bullet"/>
      <w:lvlText w:val="•"/>
      <w:lvlJc w:val="left"/>
      <w:pPr>
        <w:tabs>
          <w:tab w:val="num" w:pos="2880"/>
        </w:tabs>
        <w:ind w:left="2880" w:hanging="360"/>
      </w:pPr>
      <w:rPr>
        <w:rFonts w:ascii="Arial" w:hAnsi="Arial" w:hint="default"/>
      </w:rPr>
    </w:lvl>
    <w:lvl w:ilvl="4" w:tplc="2BF48DC6" w:tentative="1">
      <w:start w:val="1"/>
      <w:numFmt w:val="bullet"/>
      <w:lvlText w:val="•"/>
      <w:lvlJc w:val="left"/>
      <w:pPr>
        <w:tabs>
          <w:tab w:val="num" w:pos="3600"/>
        </w:tabs>
        <w:ind w:left="3600" w:hanging="360"/>
      </w:pPr>
      <w:rPr>
        <w:rFonts w:ascii="Arial" w:hAnsi="Arial" w:hint="default"/>
      </w:rPr>
    </w:lvl>
    <w:lvl w:ilvl="5" w:tplc="45B485C2" w:tentative="1">
      <w:start w:val="1"/>
      <w:numFmt w:val="bullet"/>
      <w:lvlText w:val="•"/>
      <w:lvlJc w:val="left"/>
      <w:pPr>
        <w:tabs>
          <w:tab w:val="num" w:pos="4320"/>
        </w:tabs>
        <w:ind w:left="4320" w:hanging="360"/>
      </w:pPr>
      <w:rPr>
        <w:rFonts w:ascii="Arial" w:hAnsi="Arial" w:hint="default"/>
      </w:rPr>
    </w:lvl>
    <w:lvl w:ilvl="6" w:tplc="C340F122" w:tentative="1">
      <w:start w:val="1"/>
      <w:numFmt w:val="bullet"/>
      <w:lvlText w:val="•"/>
      <w:lvlJc w:val="left"/>
      <w:pPr>
        <w:tabs>
          <w:tab w:val="num" w:pos="5040"/>
        </w:tabs>
        <w:ind w:left="5040" w:hanging="360"/>
      </w:pPr>
      <w:rPr>
        <w:rFonts w:ascii="Arial" w:hAnsi="Arial" w:hint="default"/>
      </w:rPr>
    </w:lvl>
    <w:lvl w:ilvl="7" w:tplc="2C20217C" w:tentative="1">
      <w:start w:val="1"/>
      <w:numFmt w:val="bullet"/>
      <w:lvlText w:val="•"/>
      <w:lvlJc w:val="left"/>
      <w:pPr>
        <w:tabs>
          <w:tab w:val="num" w:pos="5760"/>
        </w:tabs>
        <w:ind w:left="5760" w:hanging="360"/>
      </w:pPr>
      <w:rPr>
        <w:rFonts w:ascii="Arial" w:hAnsi="Arial" w:hint="default"/>
      </w:rPr>
    </w:lvl>
    <w:lvl w:ilvl="8" w:tplc="F2C87A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2B4B35"/>
    <w:multiLevelType w:val="hybridMultilevel"/>
    <w:tmpl w:val="0BA2AEBE"/>
    <w:lvl w:ilvl="0" w:tplc="075C8FC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E1D6F29"/>
    <w:multiLevelType w:val="hybridMultilevel"/>
    <w:tmpl w:val="B29EE760"/>
    <w:lvl w:ilvl="0" w:tplc="F618C212">
      <w:start w:val="1"/>
      <w:numFmt w:val="bullet"/>
      <w:lvlText w:val="•"/>
      <w:lvlJc w:val="left"/>
      <w:pPr>
        <w:tabs>
          <w:tab w:val="num" w:pos="720"/>
        </w:tabs>
        <w:ind w:left="720" w:hanging="360"/>
      </w:pPr>
      <w:rPr>
        <w:rFonts w:ascii="Arial" w:hAnsi="Arial" w:hint="default"/>
      </w:rPr>
    </w:lvl>
    <w:lvl w:ilvl="1" w:tplc="B0A40218">
      <w:numFmt w:val="bullet"/>
      <w:lvlText w:val="◦"/>
      <w:lvlJc w:val="left"/>
      <w:pPr>
        <w:tabs>
          <w:tab w:val="num" w:pos="1440"/>
        </w:tabs>
        <w:ind w:left="1440" w:hanging="360"/>
      </w:pPr>
      <w:rPr>
        <w:rFonts w:ascii="Microsoft Sans Serif" w:hAnsi="Microsoft Sans Serif" w:hint="default"/>
      </w:rPr>
    </w:lvl>
    <w:lvl w:ilvl="2" w:tplc="BA6C3A30" w:tentative="1">
      <w:start w:val="1"/>
      <w:numFmt w:val="bullet"/>
      <w:lvlText w:val="•"/>
      <w:lvlJc w:val="left"/>
      <w:pPr>
        <w:tabs>
          <w:tab w:val="num" w:pos="2160"/>
        </w:tabs>
        <w:ind w:left="2160" w:hanging="360"/>
      </w:pPr>
      <w:rPr>
        <w:rFonts w:ascii="Arial" w:hAnsi="Arial" w:hint="default"/>
      </w:rPr>
    </w:lvl>
    <w:lvl w:ilvl="3" w:tplc="A106D6D6" w:tentative="1">
      <w:start w:val="1"/>
      <w:numFmt w:val="bullet"/>
      <w:lvlText w:val="•"/>
      <w:lvlJc w:val="left"/>
      <w:pPr>
        <w:tabs>
          <w:tab w:val="num" w:pos="2880"/>
        </w:tabs>
        <w:ind w:left="2880" w:hanging="360"/>
      </w:pPr>
      <w:rPr>
        <w:rFonts w:ascii="Arial" w:hAnsi="Arial" w:hint="default"/>
      </w:rPr>
    </w:lvl>
    <w:lvl w:ilvl="4" w:tplc="72FED9D4" w:tentative="1">
      <w:start w:val="1"/>
      <w:numFmt w:val="bullet"/>
      <w:lvlText w:val="•"/>
      <w:lvlJc w:val="left"/>
      <w:pPr>
        <w:tabs>
          <w:tab w:val="num" w:pos="3600"/>
        </w:tabs>
        <w:ind w:left="3600" w:hanging="360"/>
      </w:pPr>
      <w:rPr>
        <w:rFonts w:ascii="Arial" w:hAnsi="Arial" w:hint="default"/>
      </w:rPr>
    </w:lvl>
    <w:lvl w:ilvl="5" w:tplc="171ABA6C" w:tentative="1">
      <w:start w:val="1"/>
      <w:numFmt w:val="bullet"/>
      <w:lvlText w:val="•"/>
      <w:lvlJc w:val="left"/>
      <w:pPr>
        <w:tabs>
          <w:tab w:val="num" w:pos="4320"/>
        </w:tabs>
        <w:ind w:left="4320" w:hanging="360"/>
      </w:pPr>
      <w:rPr>
        <w:rFonts w:ascii="Arial" w:hAnsi="Arial" w:hint="default"/>
      </w:rPr>
    </w:lvl>
    <w:lvl w:ilvl="6" w:tplc="5C74223A" w:tentative="1">
      <w:start w:val="1"/>
      <w:numFmt w:val="bullet"/>
      <w:lvlText w:val="•"/>
      <w:lvlJc w:val="left"/>
      <w:pPr>
        <w:tabs>
          <w:tab w:val="num" w:pos="5040"/>
        </w:tabs>
        <w:ind w:left="5040" w:hanging="360"/>
      </w:pPr>
      <w:rPr>
        <w:rFonts w:ascii="Arial" w:hAnsi="Arial" w:hint="default"/>
      </w:rPr>
    </w:lvl>
    <w:lvl w:ilvl="7" w:tplc="67FC9430" w:tentative="1">
      <w:start w:val="1"/>
      <w:numFmt w:val="bullet"/>
      <w:lvlText w:val="•"/>
      <w:lvlJc w:val="left"/>
      <w:pPr>
        <w:tabs>
          <w:tab w:val="num" w:pos="5760"/>
        </w:tabs>
        <w:ind w:left="5760" w:hanging="360"/>
      </w:pPr>
      <w:rPr>
        <w:rFonts w:ascii="Arial" w:hAnsi="Arial" w:hint="default"/>
      </w:rPr>
    </w:lvl>
    <w:lvl w:ilvl="8" w:tplc="5F38586C"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24"/>
  </w:num>
  <w:num w:numId="3">
    <w:abstractNumId w:val="9"/>
  </w:num>
  <w:num w:numId="4">
    <w:abstractNumId w:val="0"/>
  </w:num>
  <w:num w:numId="5">
    <w:abstractNumId w:val="13"/>
  </w:num>
  <w:num w:numId="6">
    <w:abstractNumId w:val="12"/>
  </w:num>
  <w:num w:numId="7">
    <w:abstractNumId w:val="3"/>
  </w:num>
  <w:num w:numId="8">
    <w:abstractNumId w:val="29"/>
  </w:num>
  <w:num w:numId="9">
    <w:abstractNumId w:val="33"/>
  </w:num>
  <w:num w:numId="10">
    <w:abstractNumId w:val="2"/>
  </w:num>
  <w:num w:numId="11">
    <w:abstractNumId w:val="25"/>
  </w:num>
  <w:num w:numId="12">
    <w:abstractNumId w:val="27"/>
  </w:num>
  <w:num w:numId="13">
    <w:abstractNumId w:val="34"/>
  </w:num>
  <w:num w:numId="14">
    <w:abstractNumId w:val="30"/>
  </w:num>
  <w:num w:numId="15">
    <w:abstractNumId w:val="32"/>
  </w:num>
  <w:num w:numId="16">
    <w:abstractNumId w:val="20"/>
  </w:num>
  <w:num w:numId="17">
    <w:abstractNumId w:val="21"/>
  </w:num>
  <w:num w:numId="18">
    <w:abstractNumId w:val="6"/>
  </w:num>
  <w:num w:numId="19">
    <w:abstractNumId w:val="28"/>
  </w:num>
  <w:num w:numId="20">
    <w:abstractNumId w:val="7"/>
  </w:num>
  <w:num w:numId="21">
    <w:abstractNumId w:val="5"/>
  </w:num>
  <w:num w:numId="22">
    <w:abstractNumId w:val="19"/>
  </w:num>
  <w:num w:numId="23">
    <w:abstractNumId w:val="16"/>
  </w:num>
  <w:num w:numId="24">
    <w:abstractNumId w:val="11"/>
  </w:num>
  <w:num w:numId="25">
    <w:abstractNumId w:val="31"/>
  </w:num>
  <w:num w:numId="26">
    <w:abstractNumId w:val="17"/>
  </w:num>
  <w:num w:numId="27">
    <w:abstractNumId w:val="4"/>
  </w:num>
  <w:num w:numId="28">
    <w:abstractNumId w:val="8"/>
  </w:num>
  <w:num w:numId="29">
    <w:abstractNumId w:val="26"/>
  </w:num>
  <w:num w:numId="30">
    <w:abstractNumId w:val="1"/>
  </w:num>
  <w:num w:numId="31">
    <w:abstractNumId w:val="10"/>
  </w:num>
  <w:num w:numId="32">
    <w:abstractNumId w:val="18"/>
  </w:num>
  <w:num w:numId="33">
    <w:abstractNumId w:val="14"/>
  </w:num>
  <w:num w:numId="34">
    <w:abstractNumId w:val="22"/>
  </w:num>
  <w:num w:numId="35">
    <w:abstractNumId w:val="35"/>
  </w:num>
  <w:num w:numId="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hideSpellingErrors/>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2ABD"/>
    <w:rsid w:val="000046AB"/>
    <w:rsid w:val="00006BC4"/>
    <w:rsid w:val="00007B6D"/>
    <w:rsid w:val="0001381F"/>
    <w:rsid w:val="00013C33"/>
    <w:rsid w:val="00026C88"/>
    <w:rsid w:val="000408D1"/>
    <w:rsid w:val="00047275"/>
    <w:rsid w:val="00050DEB"/>
    <w:rsid w:val="00051CDE"/>
    <w:rsid w:val="00053746"/>
    <w:rsid w:val="000557B8"/>
    <w:rsid w:val="000603C4"/>
    <w:rsid w:val="000612CC"/>
    <w:rsid w:val="000621C1"/>
    <w:rsid w:val="000729EC"/>
    <w:rsid w:val="00073D16"/>
    <w:rsid w:val="00074FD0"/>
    <w:rsid w:val="00076F6F"/>
    <w:rsid w:val="00084114"/>
    <w:rsid w:val="00085AA8"/>
    <w:rsid w:val="00087C72"/>
    <w:rsid w:val="000952DC"/>
    <w:rsid w:val="000A4826"/>
    <w:rsid w:val="000A7CCE"/>
    <w:rsid w:val="000B3C88"/>
    <w:rsid w:val="000B5BE2"/>
    <w:rsid w:val="000C1B14"/>
    <w:rsid w:val="000C7B38"/>
    <w:rsid w:val="000D1557"/>
    <w:rsid w:val="000D1CFA"/>
    <w:rsid w:val="000D3889"/>
    <w:rsid w:val="000D3EC1"/>
    <w:rsid w:val="000E0706"/>
    <w:rsid w:val="000E0A6C"/>
    <w:rsid w:val="000F50D7"/>
    <w:rsid w:val="000F65EE"/>
    <w:rsid w:val="001050AE"/>
    <w:rsid w:val="00106C9F"/>
    <w:rsid w:val="0011202B"/>
    <w:rsid w:val="001129AB"/>
    <w:rsid w:val="001140F9"/>
    <w:rsid w:val="00115503"/>
    <w:rsid w:val="00121DE9"/>
    <w:rsid w:val="00122A1C"/>
    <w:rsid w:val="00124633"/>
    <w:rsid w:val="0012597C"/>
    <w:rsid w:val="00131C46"/>
    <w:rsid w:val="00132FEA"/>
    <w:rsid w:val="00141159"/>
    <w:rsid w:val="00141606"/>
    <w:rsid w:val="00144CFC"/>
    <w:rsid w:val="001479C1"/>
    <w:rsid w:val="00150B0E"/>
    <w:rsid w:val="00151565"/>
    <w:rsid w:val="00152200"/>
    <w:rsid w:val="00152F18"/>
    <w:rsid w:val="001554C5"/>
    <w:rsid w:val="001632E3"/>
    <w:rsid w:val="00167815"/>
    <w:rsid w:val="00167E54"/>
    <w:rsid w:val="0017485B"/>
    <w:rsid w:val="00184F0F"/>
    <w:rsid w:val="00186DD8"/>
    <w:rsid w:val="00192847"/>
    <w:rsid w:val="00192C21"/>
    <w:rsid w:val="00193028"/>
    <w:rsid w:val="00193937"/>
    <w:rsid w:val="001A0374"/>
    <w:rsid w:val="001A4207"/>
    <w:rsid w:val="001A5C73"/>
    <w:rsid w:val="001B243F"/>
    <w:rsid w:val="001B29CC"/>
    <w:rsid w:val="001C3AED"/>
    <w:rsid w:val="001C4CA0"/>
    <w:rsid w:val="001C589D"/>
    <w:rsid w:val="001D5617"/>
    <w:rsid w:val="001D7C95"/>
    <w:rsid w:val="001E3173"/>
    <w:rsid w:val="001E4714"/>
    <w:rsid w:val="001E7ACC"/>
    <w:rsid w:val="001F4A43"/>
    <w:rsid w:val="00201C93"/>
    <w:rsid w:val="002140B5"/>
    <w:rsid w:val="002145BA"/>
    <w:rsid w:val="00214BAD"/>
    <w:rsid w:val="00215133"/>
    <w:rsid w:val="00217274"/>
    <w:rsid w:val="002208A7"/>
    <w:rsid w:val="00221B24"/>
    <w:rsid w:val="00221B43"/>
    <w:rsid w:val="00222CF1"/>
    <w:rsid w:val="00222F1E"/>
    <w:rsid w:val="002246B3"/>
    <w:rsid w:val="00225710"/>
    <w:rsid w:val="002257EE"/>
    <w:rsid w:val="002262D4"/>
    <w:rsid w:val="00226E45"/>
    <w:rsid w:val="00231E61"/>
    <w:rsid w:val="002349E6"/>
    <w:rsid w:val="002351A0"/>
    <w:rsid w:val="00237B7F"/>
    <w:rsid w:val="00240EFB"/>
    <w:rsid w:val="0024577D"/>
    <w:rsid w:val="0025103E"/>
    <w:rsid w:val="00255134"/>
    <w:rsid w:val="00257ED9"/>
    <w:rsid w:val="00257F92"/>
    <w:rsid w:val="002625B5"/>
    <w:rsid w:val="00264770"/>
    <w:rsid w:val="002661A0"/>
    <w:rsid w:val="002665D7"/>
    <w:rsid w:val="00267B52"/>
    <w:rsid w:val="002706B5"/>
    <w:rsid w:val="00270D09"/>
    <w:rsid w:val="002717A2"/>
    <w:rsid w:val="00274E14"/>
    <w:rsid w:val="00275CA4"/>
    <w:rsid w:val="0027710A"/>
    <w:rsid w:val="00277FC9"/>
    <w:rsid w:val="00280B78"/>
    <w:rsid w:val="00281939"/>
    <w:rsid w:val="00282AC1"/>
    <w:rsid w:val="002832C2"/>
    <w:rsid w:val="0028666A"/>
    <w:rsid w:val="00290057"/>
    <w:rsid w:val="00292489"/>
    <w:rsid w:val="0029339C"/>
    <w:rsid w:val="002A03A3"/>
    <w:rsid w:val="002A4F5D"/>
    <w:rsid w:val="002A5CA7"/>
    <w:rsid w:val="002A6844"/>
    <w:rsid w:val="002A689D"/>
    <w:rsid w:val="002A6F13"/>
    <w:rsid w:val="002A7F5C"/>
    <w:rsid w:val="002B14F2"/>
    <w:rsid w:val="002B1728"/>
    <w:rsid w:val="002B4616"/>
    <w:rsid w:val="002B4694"/>
    <w:rsid w:val="002B4EC6"/>
    <w:rsid w:val="002B61EE"/>
    <w:rsid w:val="002B6BDD"/>
    <w:rsid w:val="002C53D8"/>
    <w:rsid w:val="002C70B3"/>
    <w:rsid w:val="002D1594"/>
    <w:rsid w:val="002D444E"/>
    <w:rsid w:val="002D44EA"/>
    <w:rsid w:val="002E59C4"/>
    <w:rsid w:val="002E7E1E"/>
    <w:rsid w:val="002F0A18"/>
    <w:rsid w:val="002F1808"/>
    <w:rsid w:val="002F2515"/>
    <w:rsid w:val="002F2F8E"/>
    <w:rsid w:val="002F3C0F"/>
    <w:rsid w:val="00304E3A"/>
    <w:rsid w:val="00310FD8"/>
    <w:rsid w:val="00311061"/>
    <w:rsid w:val="003126A2"/>
    <w:rsid w:val="00314A05"/>
    <w:rsid w:val="00316BFD"/>
    <w:rsid w:val="00320A5A"/>
    <w:rsid w:val="003252D4"/>
    <w:rsid w:val="003424FC"/>
    <w:rsid w:val="00347C4D"/>
    <w:rsid w:val="00351C6C"/>
    <w:rsid w:val="00354ED5"/>
    <w:rsid w:val="003568AC"/>
    <w:rsid w:val="00362814"/>
    <w:rsid w:val="00371004"/>
    <w:rsid w:val="00385C12"/>
    <w:rsid w:val="00386B57"/>
    <w:rsid w:val="00386E7E"/>
    <w:rsid w:val="003877B1"/>
    <w:rsid w:val="00387E5D"/>
    <w:rsid w:val="00393849"/>
    <w:rsid w:val="00393882"/>
    <w:rsid w:val="00394956"/>
    <w:rsid w:val="003A33BD"/>
    <w:rsid w:val="003A6CBF"/>
    <w:rsid w:val="003A7171"/>
    <w:rsid w:val="003B0187"/>
    <w:rsid w:val="003B0F09"/>
    <w:rsid w:val="003B1B6B"/>
    <w:rsid w:val="003B3BB5"/>
    <w:rsid w:val="003B6C1F"/>
    <w:rsid w:val="003C129D"/>
    <w:rsid w:val="003C4FC5"/>
    <w:rsid w:val="003D0FED"/>
    <w:rsid w:val="003D69A3"/>
    <w:rsid w:val="003E2665"/>
    <w:rsid w:val="003E36C9"/>
    <w:rsid w:val="003E57E8"/>
    <w:rsid w:val="003F642D"/>
    <w:rsid w:val="003F7BA1"/>
    <w:rsid w:val="003F7F51"/>
    <w:rsid w:val="00402E59"/>
    <w:rsid w:val="00402FB4"/>
    <w:rsid w:val="00403FDB"/>
    <w:rsid w:val="0041035F"/>
    <w:rsid w:val="004151A0"/>
    <w:rsid w:val="00422CFF"/>
    <w:rsid w:val="004248B1"/>
    <w:rsid w:val="004301FF"/>
    <w:rsid w:val="00431888"/>
    <w:rsid w:val="00431A94"/>
    <w:rsid w:val="00431F86"/>
    <w:rsid w:val="00432329"/>
    <w:rsid w:val="0043366F"/>
    <w:rsid w:val="004377CF"/>
    <w:rsid w:val="0044100D"/>
    <w:rsid w:val="004415E1"/>
    <w:rsid w:val="00441789"/>
    <w:rsid w:val="004457EB"/>
    <w:rsid w:val="0044654D"/>
    <w:rsid w:val="00446E8A"/>
    <w:rsid w:val="0044799D"/>
    <w:rsid w:val="00450022"/>
    <w:rsid w:val="004511D2"/>
    <w:rsid w:val="00451D9F"/>
    <w:rsid w:val="00453C6A"/>
    <w:rsid w:val="004544F9"/>
    <w:rsid w:val="0046313C"/>
    <w:rsid w:val="00463F02"/>
    <w:rsid w:val="00464DA5"/>
    <w:rsid w:val="00465326"/>
    <w:rsid w:val="004713DD"/>
    <w:rsid w:val="004729F5"/>
    <w:rsid w:val="004750C4"/>
    <w:rsid w:val="00477686"/>
    <w:rsid w:val="00484708"/>
    <w:rsid w:val="0048574D"/>
    <w:rsid w:val="00496D28"/>
    <w:rsid w:val="004A239B"/>
    <w:rsid w:val="004A6853"/>
    <w:rsid w:val="004A70A0"/>
    <w:rsid w:val="004B03B8"/>
    <w:rsid w:val="004B085E"/>
    <w:rsid w:val="004B21D8"/>
    <w:rsid w:val="004B3650"/>
    <w:rsid w:val="004B4705"/>
    <w:rsid w:val="004C09EA"/>
    <w:rsid w:val="004C1E55"/>
    <w:rsid w:val="004D1871"/>
    <w:rsid w:val="004D1EBF"/>
    <w:rsid w:val="004D3681"/>
    <w:rsid w:val="004D3D3F"/>
    <w:rsid w:val="004D5882"/>
    <w:rsid w:val="004D6837"/>
    <w:rsid w:val="004E1937"/>
    <w:rsid w:val="004E5E6A"/>
    <w:rsid w:val="004E79F0"/>
    <w:rsid w:val="004F4239"/>
    <w:rsid w:val="004F51D1"/>
    <w:rsid w:val="004F7C74"/>
    <w:rsid w:val="00500536"/>
    <w:rsid w:val="00501AAC"/>
    <w:rsid w:val="0050376D"/>
    <w:rsid w:val="0051069A"/>
    <w:rsid w:val="00511EAC"/>
    <w:rsid w:val="00515823"/>
    <w:rsid w:val="00517581"/>
    <w:rsid w:val="00520038"/>
    <w:rsid w:val="00523CDE"/>
    <w:rsid w:val="00532388"/>
    <w:rsid w:val="005328F7"/>
    <w:rsid w:val="00532A09"/>
    <w:rsid w:val="00534608"/>
    <w:rsid w:val="00535D92"/>
    <w:rsid w:val="00535D98"/>
    <w:rsid w:val="0053671D"/>
    <w:rsid w:val="00542648"/>
    <w:rsid w:val="00542F7D"/>
    <w:rsid w:val="00543D57"/>
    <w:rsid w:val="00544347"/>
    <w:rsid w:val="00546596"/>
    <w:rsid w:val="00546D87"/>
    <w:rsid w:val="00546FB1"/>
    <w:rsid w:val="005506F0"/>
    <w:rsid w:val="00551E57"/>
    <w:rsid w:val="00557397"/>
    <w:rsid w:val="00560304"/>
    <w:rsid w:val="005603E9"/>
    <w:rsid w:val="00560E90"/>
    <w:rsid w:val="00563289"/>
    <w:rsid w:val="00566606"/>
    <w:rsid w:val="005666E5"/>
    <w:rsid w:val="00566B67"/>
    <w:rsid w:val="0057518D"/>
    <w:rsid w:val="00581FD9"/>
    <w:rsid w:val="00587123"/>
    <w:rsid w:val="0059008B"/>
    <w:rsid w:val="005923D0"/>
    <w:rsid w:val="0059519F"/>
    <w:rsid w:val="0059736A"/>
    <w:rsid w:val="005A045A"/>
    <w:rsid w:val="005A2ED9"/>
    <w:rsid w:val="005A2F39"/>
    <w:rsid w:val="005A62B1"/>
    <w:rsid w:val="005A6C5B"/>
    <w:rsid w:val="005B1F0C"/>
    <w:rsid w:val="005B2CF7"/>
    <w:rsid w:val="005B2FBA"/>
    <w:rsid w:val="005B619E"/>
    <w:rsid w:val="005C2E29"/>
    <w:rsid w:val="005C3F73"/>
    <w:rsid w:val="005C56FA"/>
    <w:rsid w:val="005C7A37"/>
    <w:rsid w:val="005C7D1B"/>
    <w:rsid w:val="005D00CA"/>
    <w:rsid w:val="005D5E48"/>
    <w:rsid w:val="005D6344"/>
    <w:rsid w:val="005D6D0F"/>
    <w:rsid w:val="005D789A"/>
    <w:rsid w:val="005E1D75"/>
    <w:rsid w:val="005E3769"/>
    <w:rsid w:val="005E4B80"/>
    <w:rsid w:val="005F0157"/>
    <w:rsid w:val="005F191C"/>
    <w:rsid w:val="005F23A8"/>
    <w:rsid w:val="005F5FA1"/>
    <w:rsid w:val="005F7080"/>
    <w:rsid w:val="00602B15"/>
    <w:rsid w:val="00605B49"/>
    <w:rsid w:val="00606B3E"/>
    <w:rsid w:val="00607904"/>
    <w:rsid w:val="00607ECC"/>
    <w:rsid w:val="00610B48"/>
    <w:rsid w:val="00611A2A"/>
    <w:rsid w:val="0061252A"/>
    <w:rsid w:val="00614821"/>
    <w:rsid w:val="006205A9"/>
    <w:rsid w:val="00626721"/>
    <w:rsid w:val="00630470"/>
    <w:rsid w:val="006429D4"/>
    <w:rsid w:val="00642E69"/>
    <w:rsid w:val="006435F1"/>
    <w:rsid w:val="00645A16"/>
    <w:rsid w:val="006502A4"/>
    <w:rsid w:val="006505D2"/>
    <w:rsid w:val="00651A1A"/>
    <w:rsid w:val="00652213"/>
    <w:rsid w:val="006527DE"/>
    <w:rsid w:val="00653958"/>
    <w:rsid w:val="0066284A"/>
    <w:rsid w:val="006632C8"/>
    <w:rsid w:val="00664781"/>
    <w:rsid w:val="006649D2"/>
    <w:rsid w:val="00666413"/>
    <w:rsid w:val="00666BD1"/>
    <w:rsid w:val="00667D51"/>
    <w:rsid w:val="006743FA"/>
    <w:rsid w:val="006768D1"/>
    <w:rsid w:val="00680C36"/>
    <w:rsid w:val="00681845"/>
    <w:rsid w:val="00682277"/>
    <w:rsid w:val="00682FB5"/>
    <w:rsid w:val="00683917"/>
    <w:rsid w:val="006845D6"/>
    <w:rsid w:val="00691062"/>
    <w:rsid w:val="00691CC8"/>
    <w:rsid w:val="00694482"/>
    <w:rsid w:val="00694B7D"/>
    <w:rsid w:val="00695CE6"/>
    <w:rsid w:val="006966CE"/>
    <w:rsid w:val="006A02C1"/>
    <w:rsid w:val="006A6664"/>
    <w:rsid w:val="006A7B67"/>
    <w:rsid w:val="006B22CD"/>
    <w:rsid w:val="006B2B62"/>
    <w:rsid w:val="006B2E83"/>
    <w:rsid w:val="006B6628"/>
    <w:rsid w:val="006C00E5"/>
    <w:rsid w:val="006C032D"/>
    <w:rsid w:val="006C47C0"/>
    <w:rsid w:val="006C493A"/>
    <w:rsid w:val="006C5B54"/>
    <w:rsid w:val="006D1B64"/>
    <w:rsid w:val="006D2521"/>
    <w:rsid w:val="006D34A0"/>
    <w:rsid w:val="006E19B9"/>
    <w:rsid w:val="006E1BB1"/>
    <w:rsid w:val="006E3B16"/>
    <w:rsid w:val="006E4C02"/>
    <w:rsid w:val="006E52F1"/>
    <w:rsid w:val="006E710D"/>
    <w:rsid w:val="006E7C97"/>
    <w:rsid w:val="006F2B0E"/>
    <w:rsid w:val="006F42D6"/>
    <w:rsid w:val="006F55F7"/>
    <w:rsid w:val="00700680"/>
    <w:rsid w:val="00701F1D"/>
    <w:rsid w:val="00706194"/>
    <w:rsid w:val="00710B18"/>
    <w:rsid w:val="00711724"/>
    <w:rsid w:val="00712C96"/>
    <w:rsid w:val="007144BE"/>
    <w:rsid w:val="00716DF0"/>
    <w:rsid w:val="007223E6"/>
    <w:rsid w:val="00726CBA"/>
    <w:rsid w:val="00726DFD"/>
    <w:rsid w:val="0072747A"/>
    <w:rsid w:val="00730BA1"/>
    <w:rsid w:val="00731F08"/>
    <w:rsid w:val="00735296"/>
    <w:rsid w:val="00744106"/>
    <w:rsid w:val="00744151"/>
    <w:rsid w:val="007458D9"/>
    <w:rsid w:val="007474B6"/>
    <w:rsid w:val="007504D3"/>
    <w:rsid w:val="00752CF6"/>
    <w:rsid w:val="0075390D"/>
    <w:rsid w:val="00754793"/>
    <w:rsid w:val="00756C5D"/>
    <w:rsid w:val="00763B80"/>
    <w:rsid w:val="00763D8A"/>
    <w:rsid w:val="00763F22"/>
    <w:rsid w:val="00763F89"/>
    <w:rsid w:val="0076406C"/>
    <w:rsid w:val="0076589E"/>
    <w:rsid w:val="00767D3E"/>
    <w:rsid w:val="00771D26"/>
    <w:rsid w:val="00771DCF"/>
    <w:rsid w:val="00773BE3"/>
    <w:rsid w:val="0077514D"/>
    <w:rsid w:val="00776552"/>
    <w:rsid w:val="00784C12"/>
    <w:rsid w:val="007863CC"/>
    <w:rsid w:val="007874EB"/>
    <w:rsid w:val="00793FA3"/>
    <w:rsid w:val="00795F98"/>
    <w:rsid w:val="007A05AA"/>
    <w:rsid w:val="007A1AF7"/>
    <w:rsid w:val="007A289F"/>
    <w:rsid w:val="007A2FD2"/>
    <w:rsid w:val="007A77FD"/>
    <w:rsid w:val="007B12BC"/>
    <w:rsid w:val="007C2E5C"/>
    <w:rsid w:val="007C3262"/>
    <w:rsid w:val="007D4247"/>
    <w:rsid w:val="007D57E3"/>
    <w:rsid w:val="007D5EA6"/>
    <w:rsid w:val="007E010C"/>
    <w:rsid w:val="007E4205"/>
    <w:rsid w:val="007E69CC"/>
    <w:rsid w:val="007F574F"/>
    <w:rsid w:val="008015DB"/>
    <w:rsid w:val="0080235B"/>
    <w:rsid w:val="008051F8"/>
    <w:rsid w:val="00806EAC"/>
    <w:rsid w:val="008109D1"/>
    <w:rsid w:val="00812EC4"/>
    <w:rsid w:val="00816690"/>
    <w:rsid w:val="00820436"/>
    <w:rsid w:val="00821BB4"/>
    <w:rsid w:val="00822C55"/>
    <w:rsid w:val="008254F8"/>
    <w:rsid w:val="00827D4E"/>
    <w:rsid w:val="00831BEA"/>
    <w:rsid w:val="008448D7"/>
    <w:rsid w:val="0085141A"/>
    <w:rsid w:val="00857943"/>
    <w:rsid w:val="00860A73"/>
    <w:rsid w:val="008613E3"/>
    <w:rsid w:val="00862525"/>
    <w:rsid w:val="0086376F"/>
    <w:rsid w:val="0086530D"/>
    <w:rsid w:val="00865F74"/>
    <w:rsid w:val="0086643D"/>
    <w:rsid w:val="00867537"/>
    <w:rsid w:val="00875592"/>
    <w:rsid w:val="00880A95"/>
    <w:rsid w:val="00880F5D"/>
    <w:rsid w:val="00882466"/>
    <w:rsid w:val="0088276F"/>
    <w:rsid w:val="008827A1"/>
    <w:rsid w:val="00883814"/>
    <w:rsid w:val="0088470A"/>
    <w:rsid w:val="00885041"/>
    <w:rsid w:val="008851A3"/>
    <w:rsid w:val="00891261"/>
    <w:rsid w:val="00896AC9"/>
    <w:rsid w:val="00897207"/>
    <w:rsid w:val="008A17F1"/>
    <w:rsid w:val="008A2EF7"/>
    <w:rsid w:val="008A4496"/>
    <w:rsid w:val="008A59E9"/>
    <w:rsid w:val="008A5D42"/>
    <w:rsid w:val="008A652D"/>
    <w:rsid w:val="008A68EC"/>
    <w:rsid w:val="008A7F22"/>
    <w:rsid w:val="008B1B06"/>
    <w:rsid w:val="008B54CB"/>
    <w:rsid w:val="008B67D2"/>
    <w:rsid w:val="008C02B5"/>
    <w:rsid w:val="008C1E35"/>
    <w:rsid w:val="008C5331"/>
    <w:rsid w:val="008C70AA"/>
    <w:rsid w:val="008D0559"/>
    <w:rsid w:val="008D629D"/>
    <w:rsid w:val="008E2AC2"/>
    <w:rsid w:val="008E333E"/>
    <w:rsid w:val="008E7990"/>
    <w:rsid w:val="008F26AA"/>
    <w:rsid w:val="008F2768"/>
    <w:rsid w:val="008F27B0"/>
    <w:rsid w:val="008F5EA0"/>
    <w:rsid w:val="008F6F92"/>
    <w:rsid w:val="008F7101"/>
    <w:rsid w:val="008F7E90"/>
    <w:rsid w:val="009018DF"/>
    <w:rsid w:val="009064A7"/>
    <w:rsid w:val="00915B78"/>
    <w:rsid w:val="009244DF"/>
    <w:rsid w:val="00926733"/>
    <w:rsid w:val="00931FE5"/>
    <w:rsid w:val="00937091"/>
    <w:rsid w:val="00937288"/>
    <w:rsid w:val="00942324"/>
    <w:rsid w:val="00942593"/>
    <w:rsid w:val="0094338D"/>
    <w:rsid w:val="00944145"/>
    <w:rsid w:val="00945502"/>
    <w:rsid w:val="00950F6F"/>
    <w:rsid w:val="00951CAB"/>
    <w:rsid w:val="00952333"/>
    <w:rsid w:val="009556E9"/>
    <w:rsid w:val="00955D88"/>
    <w:rsid w:val="009561EC"/>
    <w:rsid w:val="00961BCE"/>
    <w:rsid w:val="00963D7D"/>
    <w:rsid w:val="009648F7"/>
    <w:rsid w:val="00967C31"/>
    <w:rsid w:val="00971EDC"/>
    <w:rsid w:val="009735A9"/>
    <w:rsid w:val="009739A5"/>
    <w:rsid w:val="00976905"/>
    <w:rsid w:val="00977181"/>
    <w:rsid w:val="00980E82"/>
    <w:rsid w:val="0098152C"/>
    <w:rsid w:val="009865C3"/>
    <w:rsid w:val="00987DC9"/>
    <w:rsid w:val="00991F05"/>
    <w:rsid w:val="009A3624"/>
    <w:rsid w:val="009A66F9"/>
    <w:rsid w:val="009A76B8"/>
    <w:rsid w:val="009A7891"/>
    <w:rsid w:val="009B567E"/>
    <w:rsid w:val="009B5DA9"/>
    <w:rsid w:val="009B7181"/>
    <w:rsid w:val="009D01F3"/>
    <w:rsid w:val="009D31EB"/>
    <w:rsid w:val="009D3347"/>
    <w:rsid w:val="009D4095"/>
    <w:rsid w:val="009D4796"/>
    <w:rsid w:val="009D5D51"/>
    <w:rsid w:val="009E1DB0"/>
    <w:rsid w:val="009E3182"/>
    <w:rsid w:val="009F4039"/>
    <w:rsid w:val="009F56C2"/>
    <w:rsid w:val="00A0267F"/>
    <w:rsid w:val="00A03A17"/>
    <w:rsid w:val="00A053DF"/>
    <w:rsid w:val="00A072E6"/>
    <w:rsid w:val="00A11C09"/>
    <w:rsid w:val="00A123EA"/>
    <w:rsid w:val="00A12FD1"/>
    <w:rsid w:val="00A13A06"/>
    <w:rsid w:val="00A14D6C"/>
    <w:rsid w:val="00A159E4"/>
    <w:rsid w:val="00A20A0E"/>
    <w:rsid w:val="00A22152"/>
    <w:rsid w:val="00A242C1"/>
    <w:rsid w:val="00A245F7"/>
    <w:rsid w:val="00A26D08"/>
    <w:rsid w:val="00A3152B"/>
    <w:rsid w:val="00A31C9B"/>
    <w:rsid w:val="00A3298C"/>
    <w:rsid w:val="00A35E3F"/>
    <w:rsid w:val="00A368D1"/>
    <w:rsid w:val="00A37176"/>
    <w:rsid w:val="00A42AF8"/>
    <w:rsid w:val="00A43992"/>
    <w:rsid w:val="00A524EE"/>
    <w:rsid w:val="00A529E5"/>
    <w:rsid w:val="00A56066"/>
    <w:rsid w:val="00A5734E"/>
    <w:rsid w:val="00A57DD3"/>
    <w:rsid w:val="00A640BF"/>
    <w:rsid w:val="00A65AF5"/>
    <w:rsid w:val="00A66747"/>
    <w:rsid w:val="00A678AF"/>
    <w:rsid w:val="00A70198"/>
    <w:rsid w:val="00A76F0B"/>
    <w:rsid w:val="00A8025D"/>
    <w:rsid w:val="00A8050C"/>
    <w:rsid w:val="00A8267A"/>
    <w:rsid w:val="00A868E9"/>
    <w:rsid w:val="00A86A9F"/>
    <w:rsid w:val="00A873C4"/>
    <w:rsid w:val="00A87D42"/>
    <w:rsid w:val="00A95747"/>
    <w:rsid w:val="00A9671D"/>
    <w:rsid w:val="00A96AAE"/>
    <w:rsid w:val="00A97C3A"/>
    <w:rsid w:val="00AA0C63"/>
    <w:rsid w:val="00AA1708"/>
    <w:rsid w:val="00AA1745"/>
    <w:rsid w:val="00AA1ADD"/>
    <w:rsid w:val="00AA1F6B"/>
    <w:rsid w:val="00AA42A1"/>
    <w:rsid w:val="00AA76C2"/>
    <w:rsid w:val="00AB1C08"/>
    <w:rsid w:val="00AB751A"/>
    <w:rsid w:val="00AC17FA"/>
    <w:rsid w:val="00AC1B48"/>
    <w:rsid w:val="00AD08CC"/>
    <w:rsid w:val="00AD2177"/>
    <w:rsid w:val="00AD5ABB"/>
    <w:rsid w:val="00AE1AAC"/>
    <w:rsid w:val="00AE1CB2"/>
    <w:rsid w:val="00AE1D96"/>
    <w:rsid w:val="00AE3C7E"/>
    <w:rsid w:val="00AE7BAA"/>
    <w:rsid w:val="00AF0340"/>
    <w:rsid w:val="00AF202E"/>
    <w:rsid w:val="00AF543F"/>
    <w:rsid w:val="00AF61B4"/>
    <w:rsid w:val="00B01B07"/>
    <w:rsid w:val="00B03A61"/>
    <w:rsid w:val="00B06CE5"/>
    <w:rsid w:val="00B107DA"/>
    <w:rsid w:val="00B171E8"/>
    <w:rsid w:val="00B17257"/>
    <w:rsid w:val="00B215B1"/>
    <w:rsid w:val="00B21C95"/>
    <w:rsid w:val="00B221C3"/>
    <w:rsid w:val="00B25C54"/>
    <w:rsid w:val="00B30EE7"/>
    <w:rsid w:val="00B30F80"/>
    <w:rsid w:val="00B335EB"/>
    <w:rsid w:val="00B3417F"/>
    <w:rsid w:val="00B36CA2"/>
    <w:rsid w:val="00B4221C"/>
    <w:rsid w:val="00B44386"/>
    <w:rsid w:val="00B45C1C"/>
    <w:rsid w:val="00B46752"/>
    <w:rsid w:val="00B471B0"/>
    <w:rsid w:val="00B525F6"/>
    <w:rsid w:val="00B5383E"/>
    <w:rsid w:val="00B573B1"/>
    <w:rsid w:val="00B63950"/>
    <w:rsid w:val="00B65785"/>
    <w:rsid w:val="00B661A0"/>
    <w:rsid w:val="00B71019"/>
    <w:rsid w:val="00B72D3B"/>
    <w:rsid w:val="00B76C88"/>
    <w:rsid w:val="00B8043D"/>
    <w:rsid w:val="00B8260E"/>
    <w:rsid w:val="00B826AF"/>
    <w:rsid w:val="00B90E95"/>
    <w:rsid w:val="00B91F6C"/>
    <w:rsid w:val="00B94ED5"/>
    <w:rsid w:val="00B95F58"/>
    <w:rsid w:val="00B96380"/>
    <w:rsid w:val="00B96B92"/>
    <w:rsid w:val="00B978CA"/>
    <w:rsid w:val="00BA3075"/>
    <w:rsid w:val="00BA474F"/>
    <w:rsid w:val="00BA7A16"/>
    <w:rsid w:val="00BA7C88"/>
    <w:rsid w:val="00BB3B79"/>
    <w:rsid w:val="00BB53E6"/>
    <w:rsid w:val="00BB5CF3"/>
    <w:rsid w:val="00BB6E95"/>
    <w:rsid w:val="00BC09E6"/>
    <w:rsid w:val="00BC12A7"/>
    <w:rsid w:val="00BC1993"/>
    <w:rsid w:val="00BC512C"/>
    <w:rsid w:val="00BC609E"/>
    <w:rsid w:val="00BD2D92"/>
    <w:rsid w:val="00BD62C8"/>
    <w:rsid w:val="00BE0E3F"/>
    <w:rsid w:val="00BE2EB4"/>
    <w:rsid w:val="00BE39D0"/>
    <w:rsid w:val="00BE5348"/>
    <w:rsid w:val="00BF00DF"/>
    <w:rsid w:val="00BF06ED"/>
    <w:rsid w:val="00BF161A"/>
    <w:rsid w:val="00BF1D96"/>
    <w:rsid w:val="00BF2694"/>
    <w:rsid w:val="00BF39EA"/>
    <w:rsid w:val="00BF52A9"/>
    <w:rsid w:val="00BF52DE"/>
    <w:rsid w:val="00C02A3B"/>
    <w:rsid w:val="00C03071"/>
    <w:rsid w:val="00C05223"/>
    <w:rsid w:val="00C11C98"/>
    <w:rsid w:val="00C14192"/>
    <w:rsid w:val="00C149EE"/>
    <w:rsid w:val="00C15809"/>
    <w:rsid w:val="00C1697B"/>
    <w:rsid w:val="00C17A23"/>
    <w:rsid w:val="00C21698"/>
    <w:rsid w:val="00C229D6"/>
    <w:rsid w:val="00C23008"/>
    <w:rsid w:val="00C251DE"/>
    <w:rsid w:val="00C27422"/>
    <w:rsid w:val="00C31C7A"/>
    <w:rsid w:val="00C3686F"/>
    <w:rsid w:val="00C420DC"/>
    <w:rsid w:val="00C4323D"/>
    <w:rsid w:val="00C451A6"/>
    <w:rsid w:val="00C4593E"/>
    <w:rsid w:val="00C459E8"/>
    <w:rsid w:val="00C46F5D"/>
    <w:rsid w:val="00C476A7"/>
    <w:rsid w:val="00C50A14"/>
    <w:rsid w:val="00C51DD7"/>
    <w:rsid w:val="00C5493B"/>
    <w:rsid w:val="00C6207B"/>
    <w:rsid w:val="00C671F1"/>
    <w:rsid w:val="00C70152"/>
    <w:rsid w:val="00C712E0"/>
    <w:rsid w:val="00C72807"/>
    <w:rsid w:val="00C776A0"/>
    <w:rsid w:val="00C83728"/>
    <w:rsid w:val="00C851E9"/>
    <w:rsid w:val="00C86A6D"/>
    <w:rsid w:val="00C86B2A"/>
    <w:rsid w:val="00C913EB"/>
    <w:rsid w:val="00C96332"/>
    <w:rsid w:val="00CA142A"/>
    <w:rsid w:val="00CA6DCA"/>
    <w:rsid w:val="00CB0267"/>
    <w:rsid w:val="00CD131B"/>
    <w:rsid w:val="00CD30DC"/>
    <w:rsid w:val="00CD37A9"/>
    <w:rsid w:val="00CD47B0"/>
    <w:rsid w:val="00CD73CF"/>
    <w:rsid w:val="00CE0EAD"/>
    <w:rsid w:val="00CE2DFE"/>
    <w:rsid w:val="00CF6132"/>
    <w:rsid w:val="00D02766"/>
    <w:rsid w:val="00D032A5"/>
    <w:rsid w:val="00D04234"/>
    <w:rsid w:val="00D054D3"/>
    <w:rsid w:val="00D054F5"/>
    <w:rsid w:val="00D05D38"/>
    <w:rsid w:val="00D12019"/>
    <w:rsid w:val="00D14296"/>
    <w:rsid w:val="00D14BA0"/>
    <w:rsid w:val="00D24022"/>
    <w:rsid w:val="00D24B0E"/>
    <w:rsid w:val="00D27F7B"/>
    <w:rsid w:val="00D32B82"/>
    <w:rsid w:val="00D34589"/>
    <w:rsid w:val="00D3569D"/>
    <w:rsid w:val="00D37BAC"/>
    <w:rsid w:val="00D42ED7"/>
    <w:rsid w:val="00D43A83"/>
    <w:rsid w:val="00D44127"/>
    <w:rsid w:val="00D509CC"/>
    <w:rsid w:val="00D5640D"/>
    <w:rsid w:val="00D573F6"/>
    <w:rsid w:val="00D57B3B"/>
    <w:rsid w:val="00D63E7A"/>
    <w:rsid w:val="00D65AFC"/>
    <w:rsid w:val="00D6716E"/>
    <w:rsid w:val="00D67471"/>
    <w:rsid w:val="00D675C8"/>
    <w:rsid w:val="00D72078"/>
    <w:rsid w:val="00D72A67"/>
    <w:rsid w:val="00D7518A"/>
    <w:rsid w:val="00D76015"/>
    <w:rsid w:val="00D81254"/>
    <w:rsid w:val="00D82EB3"/>
    <w:rsid w:val="00D867A9"/>
    <w:rsid w:val="00D912E3"/>
    <w:rsid w:val="00D94180"/>
    <w:rsid w:val="00D95372"/>
    <w:rsid w:val="00D97682"/>
    <w:rsid w:val="00D97F2E"/>
    <w:rsid w:val="00DA0D36"/>
    <w:rsid w:val="00DA1ABD"/>
    <w:rsid w:val="00DA1B21"/>
    <w:rsid w:val="00DA1D5E"/>
    <w:rsid w:val="00DA2408"/>
    <w:rsid w:val="00DA6428"/>
    <w:rsid w:val="00DA6909"/>
    <w:rsid w:val="00DA7CE0"/>
    <w:rsid w:val="00DB0E92"/>
    <w:rsid w:val="00DB48E5"/>
    <w:rsid w:val="00DB57D5"/>
    <w:rsid w:val="00DC100C"/>
    <w:rsid w:val="00DC28F0"/>
    <w:rsid w:val="00DD09D5"/>
    <w:rsid w:val="00DD5916"/>
    <w:rsid w:val="00DE026F"/>
    <w:rsid w:val="00DE1306"/>
    <w:rsid w:val="00DE1ED3"/>
    <w:rsid w:val="00DE2BA8"/>
    <w:rsid w:val="00DE2C70"/>
    <w:rsid w:val="00DE3FA5"/>
    <w:rsid w:val="00DE54F0"/>
    <w:rsid w:val="00DE5B12"/>
    <w:rsid w:val="00E03EA0"/>
    <w:rsid w:val="00E04996"/>
    <w:rsid w:val="00E07575"/>
    <w:rsid w:val="00E1502E"/>
    <w:rsid w:val="00E1628F"/>
    <w:rsid w:val="00E24DB8"/>
    <w:rsid w:val="00E25F22"/>
    <w:rsid w:val="00E33E4A"/>
    <w:rsid w:val="00E36AB2"/>
    <w:rsid w:val="00E3795C"/>
    <w:rsid w:val="00E37C3C"/>
    <w:rsid w:val="00E40E83"/>
    <w:rsid w:val="00E4276F"/>
    <w:rsid w:val="00E434C8"/>
    <w:rsid w:val="00E43DA4"/>
    <w:rsid w:val="00E451A3"/>
    <w:rsid w:val="00E5606D"/>
    <w:rsid w:val="00E561BF"/>
    <w:rsid w:val="00E612CB"/>
    <w:rsid w:val="00E65721"/>
    <w:rsid w:val="00E67373"/>
    <w:rsid w:val="00E676C3"/>
    <w:rsid w:val="00E7187A"/>
    <w:rsid w:val="00E731EA"/>
    <w:rsid w:val="00E757D7"/>
    <w:rsid w:val="00E76615"/>
    <w:rsid w:val="00E768AD"/>
    <w:rsid w:val="00E8137B"/>
    <w:rsid w:val="00E81FA0"/>
    <w:rsid w:val="00E820B5"/>
    <w:rsid w:val="00E82F2C"/>
    <w:rsid w:val="00E856B6"/>
    <w:rsid w:val="00E85FB2"/>
    <w:rsid w:val="00E91B5F"/>
    <w:rsid w:val="00E95B56"/>
    <w:rsid w:val="00EA185B"/>
    <w:rsid w:val="00EA2244"/>
    <w:rsid w:val="00EA365B"/>
    <w:rsid w:val="00EA5163"/>
    <w:rsid w:val="00EB0575"/>
    <w:rsid w:val="00EB3300"/>
    <w:rsid w:val="00EB632D"/>
    <w:rsid w:val="00EB6E4C"/>
    <w:rsid w:val="00EB7A58"/>
    <w:rsid w:val="00EC15DC"/>
    <w:rsid w:val="00EC2508"/>
    <w:rsid w:val="00EC6C54"/>
    <w:rsid w:val="00EC7C35"/>
    <w:rsid w:val="00ED2B30"/>
    <w:rsid w:val="00ED35AD"/>
    <w:rsid w:val="00EF08D0"/>
    <w:rsid w:val="00F001F4"/>
    <w:rsid w:val="00F022B7"/>
    <w:rsid w:val="00F03AD9"/>
    <w:rsid w:val="00F103BB"/>
    <w:rsid w:val="00F103E3"/>
    <w:rsid w:val="00F12427"/>
    <w:rsid w:val="00F12DD4"/>
    <w:rsid w:val="00F154A8"/>
    <w:rsid w:val="00F223B7"/>
    <w:rsid w:val="00F22DB1"/>
    <w:rsid w:val="00F2361F"/>
    <w:rsid w:val="00F23B6C"/>
    <w:rsid w:val="00F250E7"/>
    <w:rsid w:val="00F26DC5"/>
    <w:rsid w:val="00F30A86"/>
    <w:rsid w:val="00F33CF5"/>
    <w:rsid w:val="00F36C4E"/>
    <w:rsid w:val="00F410D4"/>
    <w:rsid w:val="00F4475B"/>
    <w:rsid w:val="00F45BE4"/>
    <w:rsid w:val="00F517AC"/>
    <w:rsid w:val="00F51896"/>
    <w:rsid w:val="00F55CC3"/>
    <w:rsid w:val="00F61475"/>
    <w:rsid w:val="00F618CC"/>
    <w:rsid w:val="00F62DC5"/>
    <w:rsid w:val="00F63437"/>
    <w:rsid w:val="00F634F5"/>
    <w:rsid w:val="00F747AD"/>
    <w:rsid w:val="00F7630F"/>
    <w:rsid w:val="00F801B5"/>
    <w:rsid w:val="00F845C9"/>
    <w:rsid w:val="00F861BC"/>
    <w:rsid w:val="00F86F26"/>
    <w:rsid w:val="00F91293"/>
    <w:rsid w:val="00F95AC3"/>
    <w:rsid w:val="00F96D91"/>
    <w:rsid w:val="00FA1D77"/>
    <w:rsid w:val="00FA3CDF"/>
    <w:rsid w:val="00FA3DD4"/>
    <w:rsid w:val="00FA7417"/>
    <w:rsid w:val="00FA7EB8"/>
    <w:rsid w:val="00FB3159"/>
    <w:rsid w:val="00FB69F5"/>
    <w:rsid w:val="00FC2926"/>
    <w:rsid w:val="00FC34BA"/>
    <w:rsid w:val="00FC3C04"/>
    <w:rsid w:val="00FC4667"/>
    <w:rsid w:val="00FC6AD4"/>
    <w:rsid w:val="00FD00FE"/>
    <w:rsid w:val="00FD2075"/>
    <w:rsid w:val="00FD4C37"/>
    <w:rsid w:val="00FD69B5"/>
    <w:rsid w:val="00FE0532"/>
    <w:rsid w:val="00FE1E8C"/>
    <w:rsid w:val="00FE2BB3"/>
    <w:rsid w:val="00FF0BA7"/>
    <w:rsid w:val="00FF119F"/>
    <w:rsid w:val="00FF2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36C1C"/>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C4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rsid w:val="00347C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347C4D"/>
    <w:pPr>
      <w:pBdr>
        <w:top w:val="none" w:sz="0" w:space="0" w:color="auto"/>
      </w:pBdr>
      <w:spacing w:before="180"/>
      <w:ind w:left="0" w:firstLine="0"/>
      <w:outlineLvl w:val="1"/>
    </w:pPr>
    <w:rPr>
      <w:sz w:val="32"/>
    </w:rPr>
  </w:style>
  <w:style w:type="paragraph" w:styleId="Heading3">
    <w:name w:val="heading 3"/>
    <w:basedOn w:val="Heading2"/>
    <w:next w:val="Normal"/>
    <w:qFormat/>
    <w:rsid w:val="00347C4D"/>
    <w:pPr>
      <w:spacing w:before="120"/>
      <w:outlineLvl w:val="2"/>
    </w:pPr>
    <w:rPr>
      <w:sz w:val="28"/>
    </w:rPr>
  </w:style>
  <w:style w:type="paragraph" w:styleId="Heading4">
    <w:name w:val="heading 4"/>
    <w:basedOn w:val="Heading3"/>
    <w:next w:val="Normal"/>
    <w:qFormat/>
    <w:rsid w:val="00347C4D"/>
    <w:pPr>
      <w:ind w:left="1418" w:hanging="1418"/>
      <w:outlineLvl w:val="3"/>
    </w:pPr>
    <w:rPr>
      <w:sz w:val="24"/>
    </w:rPr>
  </w:style>
  <w:style w:type="paragraph" w:styleId="Heading5">
    <w:name w:val="heading 5"/>
    <w:basedOn w:val="Heading4"/>
    <w:next w:val="Normal"/>
    <w:qFormat/>
    <w:rsid w:val="00347C4D"/>
    <w:pPr>
      <w:ind w:left="1701" w:hanging="1701"/>
      <w:outlineLvl w:val="4"/>
    </w:pPr>
    <w:rPr>
      <w:sz w:val="22"/>
    </w:rPr>
  </w:style>
  <w:style w:type="paragraph" w:styleId="Heading6">
    <w:name w:val="heading 6"/>
    <w:basedOn w:val="H6"/>
    <w:next w:val="Normal"/>
    <w:qFormat/>
    <w:rsid w:val="00347C4D"/>
    <w:pPr>
      <w:outlineLvl w:val="5"/>
    </w:pPr>
  </w:style>
  <w:style w:type="paragraph" w:styleId="Heading7">
    <w:name w:val="heading 7"/>
    <w:basedOn w:val="H6"/>
    <w:next w:val="Normal"/>
    <w:qFormat/>
    <w:rsid w:val="00347C4D"/>
    <w:pPr>
      <w:outlineLvl w:val="6"/>
    </w:pPr>
  </w:style>
  <w:style w:type="paragraph" w:styleId="Heading8">
    <w:name w:val="heading 8"/>
    <w:basedOn w:val="Heading1"/>
    <w:next w:val="Normal"/>
    <w:qFormat/>
    <w:rsid w:val="00347C4D"/>
    <w:pPr>
      <w:ind w:left="0" w:firstLine="0"/>
      <w:outlineLvl w:val="7"/>
    </w:pPr>
  </w:style>
  <w:style w:type="paragraph" w:styleId="Heading9">
    <w:name w:val="heading 9"/>
    <w:basedOn w:val="Heading8"/>
    <w:next w:val="Normal"/>
    <w:qFormat/>
    <w:rsid w:val="00347C4D"/>
    <w:pPr>
      <w:outlineLvl w:val="8"/>
    </w:pPr>
  </w:style>
  <w:style w:type="character" w:default="1" w:styleId="DefaultParagraphFont">
    <w:name w:val="Default Paragraph Font"/>
    <w:semiHidden/>
    <w:rsid w:val="00347C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7C4D"/>
  </w:style>
  <w:style w:type="paragraph" w:styleId="TOC8">
    <w:name w:val="toc 8"/>
    <w:basedOn w:val="TOC1"/>
    <w:semiHidden/>
    <w:rsid w:val="00347C4D"/>
    <w:pPr>
      <w:spacing w:before="180"/>
      <w:ind w:left="2693" w:hanging="2693"/>
    </w:pPr>
    <w:rPr>
      <w:b/>
    </w:rPr>
  </w:style>
  <w:style w:type="paragraph" w:styleId="TOC1">
    <w:name w:val="toc 1"/>
    <w:semiHidden/>
    <w:rsid w:val="00347C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47C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347C4D"/>
    <w:pPr>
      <w:ind w:left="1701" w:hanging="1701"/>
    </w:pPr>
  </w:style>
  <w:style w:type="paragraph" w:styleId="TOC4">
    <w:name w:val="toc 4"/>
    <w:basedOn w:val="TOC3"/>
    <w:semiHidden/>
    <w:rsid w:val="00347C4D"/>
    <w:pPr>
      <w:ind w:left="1418" w:hanging="1418"/>
    </w:pPr>
  </w:style>
  <w:style w:type="paragraph" w:styleId="TOC3">
    <w:name w:val="toc 3"/>
    <w:basedOn w:val="TOC2"/>
    <w:semiHidden/>
    <w:rsid w:val="00347C4D"/>
    <w:pPr>
      <w:ind w:left="1134" w:hanging="1134"/>
    </w:pPr>
  </w:style>
  <w:style w:type="paragraph" w:styleId="TOC2">
    <w:name w:val="toc 2"/>
    <w:basedOn w:val="TOC1"/>
    <w:semiHidden/>
    <w:rsid w:val="00347C4D"/>
    <w:pPr>
      <w:keepNext w:val="0"/>
      <w:spacing w:before="0"/>
      <w:ind w:left="851" w:hanging="851"/>
    </w:pPr>
    <w:rPr>
      <w:sz w:val="20"/>
    </w:rPr>
  </w:style>
  <w:style w:type="paragraph" w:styleId="Index2">
    <w:name w:val="index 2"/>
    <w:basedOn w:val="Index1"/>
    <w:semiHidden/>
    <w:rsid w:val="00347C4D"/>
    <w:pPr>
      <w:ind w:left="284"/>
    </w:pPr>
  </w:style>
  <w:style w:type="paragraph" w:styleId="Index1">
    <w:name w:val="index 1"/>
    <w:basedOn w:val="Normal"/>
    <w:semiHidden/>
    <w:rsid w:val="00347C4D"/>
    <w:pPr>
      <w:keepLines/>
      <w:spacing w:after="0"/>
    </w:pPr>
  </w:style>
  <w:style w:type="paragraph" w:customStyle="1" w:styleId="ZH">
    <w:name w:val="ZH"/>
    <w:rsid w:val="00347C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47C4D"/>
    <w:pPr>
      <w:outlineLvl w:val="9"/>
    </w:pPr>
  </w:style>
  <w:style w:type="paragraph" w:styleId="ListNumber2">
    <w:name w:val="List Number 2"/>
    <w:basedOn w:val="ListNumber"/>
    <w:semiHidden/>
    <w:rsid w:val="00347C4D"/>
    <w:pPr>
      <w:ind w:left="851"/>
    </w:pPr>
  </w:style>
  <w:style w:type="paragraph" w:styleId="Header">
    <w:name w:val="header"/>
    <w:semiHidden/>
    <w:rsid w:val="00347C4D"/>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347C4D"/>
    <w:rPr>
      <w:b/>
      <w:position w:val="6"/>
      <w:sz w:val="16"/>
    </w:rPr>
  </w:style>
  <w:style w:type="paragraph" w:styleId="FootnoteText">
    <w:name w:val="footnote text"/>
    <w:basedOn w:val="Normal"/>
    <w:semiHidden/>
    <w:rsid w:val="00347C4D"/>
    <w:pPr>
      <w:keepLines/>
      <w:spacing w:after="0"/>
      <w:ind w:left="454" w:hanging="454"/>
    </w:pPr>
    <w:rPr>
      <w:sz w:val="16"/>
    </w:rPr>
  </w:style>
  <w:style w:type="paragraph" w:customStyle="1" w:styleId="TAH">
    <w:name w:val="TAH"/>
    <w:basedOn w:val="TAC"/>
    <w:rsid w:val="00347C4D"/>
    <w:rPr>
      <w:b/>
    </w:rPr>
  </w:style>
  <w:style w:type="paragraph" w:customStyle="1" w:styleId="TAC">
    <w:name w:val="TAC"/>
    <w:basedOn w:val="TAL"/>
    <w:rsid w:val="00347C4D"/>
    <w:pPr>
      <w:jc w:val="center"/>
    </w:pPr>
  </w:style>
  <w:style w:type="paragraph" w:customStyle="1" w:styleId="TF">
    <w:name w:val="TF"/>
    <w:basedOn w:val="TH"/>
    <w:rsid w:val="00347C4D"/>
    <w:pPr>
      <w:keepNext w:val="0"/>
      <w:spacing w:before="0" w:after="240"/>
    </w:pPr>
  </w:style>
  <w:style w:type="paragraph" w:customStyle="1" w:styleId="NO">
    <w:name w:val="NO"/>
    <w:basedOn w:val="Normal"/>
    <w:rsid w:val="00347C4D"/>
    <w:pPr>
      <w:keepLines/>
      <w:ind w:left="1135" w:hanging="851"/>
    </w:pPr>
  </w:style>
  <w:style w:type="paragraph" w:styleId="TOC9">
    <w:name w:val="toc 9"/>
    <w:basedOn w:val="TOC8"/>
    <w:semiHidden/>
    <w:rsid w:val="00347C4D"/>
    <w:pPr>
      <w:ind w:left="1418" w:hanging="1418"/>
    </w:pPr>
  </w:style>
  <w:style w:type="paragraph" w:customStyle="1" w:styleId="EX">
    <w:name w:val="EX"/>
    <w:basedOn w:val="Normal"/>
    <w:rsid w:val="00347C4D"/>
    <w:pPr>
      <w:keepLines/>
      <w:ind w:left="1702" w:hanging="1418"/>
    </w:pPr>
  </w:style>
  <w:style w:type="paragraph" w:customStyle="1" w:styleId="FP">
    <w:name w:val="FP"/>
    <w:basedOn w:val="Normal"/>
    <w:rsid w:val="00347C4D"/>
    <w:pPr>
      <w:spacing w:after="0"/>
    </w:pPr>
  </w:style>
  <w:style w:type="paragraph" w:customStyle="1" w:styleId="LD">
    <w:name w:val="LD"/>
    <w:rsid w:val="00347C4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47C4D"/>
    <w:pPr>
      <w:spacing w:after="0"/>
    </w:pPr>
  </w:style>
  <w:style w:type="paragraph" w:customStyle="1" w:styleId="EW">
    <w:name w:val="EW"/>
    <w:basedOn w:val="EX"/>
    <w:rsid w:val="00347C4D"/>
    <w:pPr>
      <w:spacing w:after="0"/>
    </w:pPr>
  </w:style>
  <w:style w:type="paragraph" w:styleId="TOC6">
    <w:name w:val="toc 6"/>
    <w:basedOn w:val="TOC5"/>
    <w:next w:val="Normal"/>
    <w:semiHidden/>
    <w:rsid w:val="00347C4D"/>
    <w:pPr>
      <w:ind w:left="1985" w:hanging="1985"/>
    </w:pPr>
  </w:style>
  <w:style w:type="paragraph" w:styleId="TOC7">
    <w:name w:val="toc 7"/>
    <w:basedOn w:val="TOC6"/>
    <w:next w:val="Normal"/>
    <w:semiHidden/>
    <w:rsid w:val="00347C4D"/>
    <w:pPr>
      <w:ind w:left="2268" w:hanging="2268"/>
    </w:pPr>
  </w:style>
  <w:style w:type="paragraph" w:styleId="ListBullet2">
    <w:name w:val="List Bullet 2"/>
    <w:basedOn w:val="ListBullet"/>
    <w:semiHidden/>
    <w:rsid w:val="00347C4D"/>
    <w:pPr>
      <w:ind w:left="851"/>
    </w:pPr>
  </w:style>
  <w:style w:type="paragraph" w:styleId="ListBullet3">
    <w:name w:val="List Bullet 3"/>
    <w:basedOn w:val="ListBullet2"/>
    <w:semiHidden/>
    <w:rsid w:val="00347C4D"/>
    <w:pPr>
      <w:ind w:left="1135"/>
    </w:pPr>
  </w:style>
  <w:style w:type="paragraph" w:styleId="ListNumber">
    <w:name w:val="List Number"/>
    <w:basedOn w:val="List"/>
    <w:semiHidden/>
    <w:rsid w:val="00347C4D"/>
  </w:style>
  <w:style w:type="paragraph" w:customStyle="1" w:styleId="EQ">
    <w:name w:val="EQ"/>
    <w:basedOn w:val="Normal"/>
    <w:next w:val="Normal"/>
    <w:rsid w:val="00347C4D"/>
    <w:pPr>
      <w:keepLines/>
      <w:tabs>
        <w:tab w:val="center" w:pos="4536"/>
        <w:tab w:val="right" w:pos="9072"/>
      </w:tabs>
    </w:pPr>
    <w:rPr>
      <w:noProof/>
    </w:rPr>
  </w:style>
  <w:style w:type="paragraph" w:customStyle="1" w:styleId="TH">
    <w:name w:val="TH"/>
    <w:basedOn w:val="Normal"/>
    <w:rsid w:val="00347C4D"/>
    <w:pPr>
      <w:keepNext/>
      <w:keepLines/>
      <w:spacing w:before="60"/>
      <w:jc w:val="center"/>
    </w:pPr>
    <w:rPr>
      <w:rFonts w:ascii="Arial" w:hAnsi="Arial"/>
      <w:b/>
    </w:rPr>
  </w:style>
  <w:style w:type="paragraph" w:customStyle="1" w:styleId="NF">
    <w:name w:val="NF"/>
    <w:basedOn w:val="NO"/>
    <w:rsid w:val="00347C4D"/>
    <w:pPr>
      <w:keepNext/>
      <w:spacing w:after="0"/>
    </w:pPr>
    <w:rPr>
      <w:rFonts w:ascii="Arial" w:hAnsi="Arial"/>
      <w:sz w:val="18"/>
    </w:rPr>
  </w:style>
  <w:style w:type="paragraph" w:customStyle="1" w:styleId="PL">
    <w:name w:val="PL"/>
    <w:rsid w:val="00347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47C4D"/>
    <w:pPr>
      <w:jc w:val="right"/>
    </w:pPr>
  </w:style>
  <w:style w:type="paragraph" w:customStyle="1" w:styleId="H6">
    <w:name w:val="H6"/>
    <w:basedOn w:val="Heading5"/>
    <w:next w:val="Normal"/>
    <w:rsid w:val="00347C4D"/>
    <w:pPr>
      <w:ind w:left="1985" w:hanging="1985"/>
      <w:outlineLvl w:val="9"/>
    </w:pPr>
    <w:rPr>
      <w:sz w:val="20"/>
    </w:rPr>
  </w:style>
  <w:style w:type="paragraph" w:customStyle="1" w:styleId="TAN">
    <w:name w:val="TAN"/>
    <w:basedOn w:val="TAL"/>
    <w:rsid w:val="00347C4D"/>
    <w:pPr>
      <w:ind w:left="851" w:hanging="851"/>
    </w:pPr>
  </w:style>
  <w:style w:type="paragraph" w:customStyle="1" w:styleId="TAL">
    <w:name w:val="TAL"/>
    <w:basedOn w:val="Normal"/>
    <w:rsid w:val="00347C4D"/>
    <w:pPr>
      <w:keepNext/>
      <w:keepLines/>
      <w:spacing w:after="0"/>
    </w:pPr>
    <w:rPr>
      <w:rFonts w:ascii="Arial" w:hAnsi="Arial"/>
      <w:sz w:val="18"/>
    </w:rPr>
  </w:style>
  <w:style w:type="paragraph" w:customStyle="1" w:styleId="ZA">
    <w:name w:val="ZA"/>
    <w:rsid w:val="00347C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47C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47C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47C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47C4D"/>
    <w:pPr>
      <w:framePr w:wrap="notBeside" w:y="16161"/>
    </w:pPr>
  </w:style>
  <w:style w:type="character" w:customStyle="1" w:styleId="ZGSM">
    <w:name w:val="ZGSM"/>
    <w:rsid w:val="00347C4D"/>
  </w:style>
  <w:style w:type="paragraph" w:styleId="List2">
    <w:name w:val="List 2"/>
    <w:basedOn w:val="List"/>
    <w:semiHidden/>
    <w:rsid w:val="00347C4D"/>
    <w:pPr>
      <w:ind w:left="851"/>
    </w:pPr>
  </w:style>
  <w:style w:type="paragraph" w:customStyle="1" w:styleId="ZG">
    <w:name w:val="ZG"/>
    <w:rsid w:val="00347C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47C4D"/>
    <w:pPr>
      <w:ind w:left="1135"/>
    </w:pPr>
  </w:style>
  <w:style w:type="paragraph" w:styleId="List4">
    <w:name w:val="List 4"/>
    <w:basedOn w:val="List3"/>
    <w:semiHidden/>
    <w:rsid w:val="00347C4D"/>
    <w:pPr>
      <w:ind w:left="1418"/>
    </w:pPr>
  </w:style>
  <w:style w:type="paragraph" w:styleId="List5">
    <w:name w:val="List 5"/>
    <w:basedOn w:val="List4"/>
    <w:semiHidden/>
    <w:rsid w:val="00347C4D"/>
    <w:pPr>
      <w:ind w:left="1702"/>
    </w:pPr>
  </w:style>
  <w:style w:type="paragraph" w:customStyle="1" w:styleId="EditorsNote">
    <w:name w:val="Editor's Note"/>
    <w:basedOn w:val="NO"/>
    <w:rsid w:val="00347C4D"/>
    <w:rPr>
      <w:color w:val="FF0000"/>
    </w:rPr>
  </w:style>
  <w:style w:type="paragraph" w:styleId="List">
    <w:name w:val="List"/>
    <w:basedOn w:val="Normal"/>
    <w:semiHidden/>
    <w:rsid w:val="00347C4D"/>
    <w:pPr>
      <w:ind w:left="568" w:hanging="284"/>
    </w:pPr>
  </w:style>
  <w:style w:type="paragraph" w:styleId="ListBullet">
    <w:name w:val="List Bullet"/>
    <w:basedOn w:val="List"/>
    <w:semiHidden/>
    <w:rsid w:val="00347C4D"/>
  </w:style>
  <w:style w:type="paragraph" w:styleId="ListBullet4">
    <w:name w:val="List Bullet 4"/>
    <w:basedOn w:val="ListBullet3"/>
    <w:semiHidden/>
    <w:rsid w:val="00347C4D"/>
    <w:pPr>
      <w:ind w:left="1418"/>
    </w:pPr>
  </w:style>
  <w:style w:type="paragraph" w:styleId="ListBullet5">
    <w:name w:val="List Bullet 5"/>
    <w:basedOn w:val="ListBullet4"/>
    <w:semiHidden/>
    <w:rsid w:val="00347C4D"/>
    <w:pPr>
      <w:ind w:left="1702"/>
    </w:pPr>
  </w:style>
  <w:style w:type="paragraph" w:customStyle="1" w:styleId="B1">
    <w:name w:val="B1"/>
    <w:basedOn w:val="List"/>
    <w:rsid w:val="00347C4D"/>
  </w:style>
  <w:style w:type="paragraph" w:customStyle="1" w:styleId="B2">
    <w:name w:val="B2"/>
    <w:basedOn w:val="List2"/>
    <w:rsid w:val="00347C4D"/>
  </w:style>
  <w:style w:type="paragraph" w:customStyle="1" w:styleId="B3">
    <w:name w:val="B3"/>
    <w:basedOn w:val="List3"/>
    <w:rsid w:val="00347C4D"/>
  </w:style>
  <w:style w:type="paragraph" w:customStyle="1" w:styleId="B4">
    <w:name w:val="B4"/>
    <w:basedOn w:val="List4"/>
    <w:rsid w:val="00347C4D"/>
  </w:style>
  <w:style w:type="paragraph" w:customStyle="1" w:styleId="B5">
    <w:name w:val="B5"/>
    <w:basedOn w:val="List5"/>
    <w:rsid w:val="00347C4D"/>
  </w:style>
  <w:style w:type="paragraph" w:styleId="Footer">
    <w:name w:val="footer"/>
    <w:basedOn w:val="Header"/>
    <w:semiHidden/>
    <w:rsid w:val="00347C4D"/>
    <w:pPr>
      <w:jc w:val="center"/>
    </w:pPr>
    <w:rPr>
      <w:i/>
    </w:rPr>
  </w:style>
  <w:style w:type="paragraph" w:customStyle="1" w:styleId="ZTD">
    <w:name w:val="ZTD"/>
    <w:basedOn w:val="ZB"/>
    <w:rsid w:val="00347C4D"/>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A1D77"/>
    <w:rPr>
      <w:rFonts w:ascii="Times New Roman" w:hAnsi="Times New Roman"/>
      <w:lang w:val="en-GB"/>
    </w:rPr>
  </w:style>
  <w:style w:type="character" w:customStyle="1" w:styleId="Heading1Char">
    <w:name w:val="Heading 1 Char"/>
    <w:basedOn w:val="DefaultParagraphFont"/>
    <w:link w:val="Heading1"/>
    <w:rsid w:val="00BC12A7"/>
    <w:rPr>
      <w:rFonts w:ascii="Arial" w:eastAsia="Times New Roman" w:hAnsi="Arial"/>
      <w:sz w:val="36"/>
      <w:lang w:val="en-GB"/>
    </w:rPr>
  </w:style>
  <w:style w:type="character" w:styleId="CommentReference">
    <w:name w:val="annotation reference"/>
    <w:basedOn w:val="DefaultParagraphFont"/>
    <w:unhideWhenUsed/>
    <w:qFormat/>
    <w:rsid w:val="00347C4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142422">
      <w:bodyDiv w:val="1"/>
      <w:marLeft w:val="0"/>
      <w:marRight w:val="0"/>
      <w:marTop w:val="0"/>
      <w:marBottom w:val="0"/>
      <w:divBdr>
        <w:top w:val="none" w:sz="0" w:space="0" w:color="auto"/>
        <w:left w:val="none" w:sz="0" w:space="0" w:color="auto"/>
        <w:bottom w:val="none" w:sz="0" w:space="0" w:color="auto"/>
        <w:right w:val="none" w:sz="0" w:space="0" w:color="auto"/>
      </w:divBdr>
      <w:divsChild>
        <w:div w:id="2045860831">
          <w:marLeft w:val="274"/>
          <w:marRight w:val="0"/>
          <w:marTop w:val="120"/>
          <w:marBottom w:val="0"/>
          <w:divBdr>
            <w:top w:val="none" w:sz="0" w:space="0" w:color="auto"/>
            <w:left w:val="none" w:sz="0" w:space="0" w:color="auto"/>
            <w:bottom w:val="none" w:sz="0" w:space="0" w:color="auto"/>
            <w:right w:val="none" w:sz="0" w:space="0" w:color="auto"/>
          </w:divBdr>
        </w:div>
      </w:divsChild>
    </w:div>
    <w:div w:id="517045381">
      <w:bodyDiv w:val="1"/>
      <w:marLeft w:val="0"/>
      <w:marRight w:val="0"/>
      <w:marTop w:val="0"/>
      <w:marBottom w:val="0"/>
      <w:divBdr>
        <w:top w:val="none" w:sz="0" w:space="0" w:color="auto"/>
        <w:left w:val="none" w:sz="0" w:space="0" w:color="auto"/>
        <w:bottom w:val="none" w:sz="0" w:space="0" w:color="auto"/>
        <w:right w:val="none" w:sz="0" w:space="0" w:color="auto"/>
      </w:divBdr>
      <w:divsChild>
        <w:div w:id="1752115602">
          <w:marLeft w:val="274"/>
          <w:marRight w:val="0"/>
          <w:marTop w:val="240"/>
          <w:marBottom w:val="0"/>
          <w:divBdr>
            <w:top w:val="none" w:sz="0" w:space="0" w:color="auto"/>
            <w:left w:val="none" w:sz="0" w:space="0" w:color="auto"/>
            <w:bottom w:val="none" w:sz="0" w:space="0" w:color="auto"/>
            <w:right w:val="none" w:sz="0" w:space="0" w:color="auto"/>
          </w:divBdr>
        </w:div>
        <w:div w:id="775715209">
          <w:marLeft w:val="533"/>
          <w:marRight w:val="0"/>
          <w:marTop w:val="0"/>
          <w:marBottom w:val="0"/>
          <w:divBdr>
            <w:top w:val="none" w:sz="0" w:space="0" w:color="auto"/>
            <w:left w:val="none" w:sz="0" w:space="0" w:color="auto"/>
            <w:bottom w:val="none" w:sz="0" w:space="0" w:color="auto"/>
            <w:right w:val="none" w:sz="0" w:space="0" w:color="auto"/>
          </w:divBdr>
        </w:div>
        <w:div w:id="1919554046">
          <w:marLeft w:val="533"/>
          <w:marRight w:val="0"/>
          <w:marTop w:val="0"/>
          <w:marBottom w:val="0"/>
          <w:divBdr>
            <w:top w:val="none" w:sz="0" w:space="0" w:color="auto"/>
            <w:left w:val="none" w:sz="0" w:space="0" w:color="auto"/>
            <w:bottom w:val="none" w:sz="0" w:space="0" w:color="auto"/>
            <w:right w:val="none" w:sz="0" w:space="0" w:color="auto"/>
          </w:divBdr>
        </w:div>
        <w:div w:id="326327715">
          <w:marLeft w:val="274"/>
          <w:marRight w:val="0"/>
          <w:marTop w:val="240"/>
          <w:marBottom w:val="0"/>
          <w:divBdr>
            <w:top w:val="none" w:sz="0" w:space="0" w:color="auto"/>
            <w:left w:val="none" w:sz="0" w:space="0" w:color="auto"/>
            <w:bottom w:val="none" w:sz="0" w:space="0" w:color="auto"/>
            <w:right w:val="none" w:sz="0" w:space="0" w:color="auto"/>
          </w:divBdr>
        </w:div>
        <w:div w:id="2061056802">
          <w:marLeft w:val="533"/>
          <w:marRight w:val="0"/>
          <w:marTop w:val="0"/>
          <w:marBottom w:val="0"/>
          <w:divBdr>
            <w:top w:val="none" w:sz="0" w:space="0" w:color="auto"/>
            <w:left w:val="none" w:sz="0" w:space="0" w:color="auto"/>
            <w:bottom w:val="none" w:sz="0" w:space="0" w:color="auto"/>
            <w:right w:val="none" w:sz="0" w:space="0" w:color="auto"/>
          </w:divBdr>
        </w:div>
        <w:div w:id="1098991063">
          <w:marLeft w:val="533"/>
          <w:marRight w:val="0"/>
          <w:marTop w:val="0"/>
          <w:marBottom w:val="0"/>
          <w:divBdr>
            <w:top w:val="none" w:sz="0" w:space="0" w:color="auto"/>
            <w:left w:val="none" w:sz="0" w:space="0" w:color="auto"/>
            <w:bottom w:val="none" w:sz="0" w:space="0" w:color="auto"/>
            <w:right w:val="none" w:sz="0" w:space="0" w:color="auto"/>
          </w:divBdr>
        </w:div>
        <w:div w:id="1091196868">
          <w:marLeft w:val="533"/>
          <w:marRight w:val="0"/>
          <w:marTop w:val="0"/>
          <w:marBottom w:val="0"/>
          <w:divBdr>
            <w:top w:val="none" w:sz="0" w:space="0" w:color="auto"/>
            <w:left w:val="none" w:sz="0" w:space="0" w:color="auto"/>
            <w:bottom w:val="none" w:sz="0" w:space="0" w:color="auto"/>
            <w:right w:val="none" w:sz="0" w:space="0" w:color="auto"/>
          </w:divBdr>
        </w:div>
      </w:divsChild>
    </w:div>
    <w:div w:id="624701540">
      <w:bodyDiv w:val="1"/>
      <w:marLeft w:val="0"/>
      <w:marRight w:val="0"/>
      <w:marTop w:val="0"/>
      <w:marBottom w:val="0"/>
      <w:divBdr>
        <w:top w:val="none" w:sz="0" w:space="0" w:color="auto"/>
        <w:left w:val="none" w:sz="0" w:space="0" w:color="auto"/>
        <w:bottom w:val="none" w:sz="0" w:space="0" w:color="auto"/>
        <w:right w:val="none" w:sz="0" w:space="0" w:color="auto"/>
      </w:divBdr>
      <w:divsChild>
        <w:div w:id="333385707">
          <w:marLeft w:val="274"/>
          <w:marRight w:val="0"/>
          <w:marTop w:val="120"/>
          <w:marBottom w:val="0"/>
          <w:divBdr>
            <w:top w:val="none" w:sz="0" w:space="0" w:color="auto"/>
            <w:left w:val="none" w:sz="0" w:space="0" w:color="auto"/>
            <w:bottom w:val="none" w:sz="0" w:space="0" w:color="auto"/>
            <w:right w:val="none" w:sz="0" w:space="0" w:color="auto"/>
          </w:divBdr>
        </w:div>
      </w:divsChild>
    </w:div>
    <w:div w:id="899940681">
      <w:bodyDiv w:val="1"/>
      <w:marLeft w:val="0"/>
      <w:marRight w:val="0"/>
      <w:marTop w:val="0"/>
      <w:marBottom w:val="0"/>
      <w:divBdr>
        <w:top w:val="none" w:sz="0" w:space="0" w:color="auto"/>
        <w:left w:val="none" w:sz="0" w:space="0" w:color="auto"/>
        <w:bottom w:val="none" w:sz="0" w:space="0" w:color="auto"/>
        <w:right w:val="none" w:sz="0" w:space="0" w:color="auto"/>
      </w:divBdr>
      <w:divsChild>
        <w:div w:id="1347172239">
          <w:marLeft w:val="533"/>
          <w:marRight w:val="0"/>
          <w:marTop w:val="0"/>
          <w:marBottom w:val="0"/>
          <w:divBdr>
            <w:top w:val="none" w:sz="0" w:space="0" w:color="auto"/>
            <w:left w:val="none" w:sz="0" w:space="0" w:color="auto"/>
            <w:bottom w:val="none" w:sz="0" w:space="0" w:color="auto"/>
            <w:right w:val="none" w:sz="0" w:space="0" w:color="auto"/>
          </w:divBdr>
        </w:div>
        <w:div w:id="1578591940">
          <w:marLeft w:val="533"/>
          <w:marRight w:val="0"/>
          <w:marTop w:val="0"/>
          <w:marBottom w:val="0"/>
          <w:divBdr>
            <w:top w:val="none" w:sz="0" w:space="0" w:color="auto"/>
            <w:left w:val="none" w:sz="0" w:space="0" w:color="auto"/>
            <w:bottom w:val="none" w:sz="0" w:space="0" w:color="auto"/>
            <w:right w:val="none" w:sz="0" w:space="0" w:color="auto"/>
          </w:divBdr>
        </w:div>
        <w:div w:id="1589970884">
          <w:marLeft w:val="533"/>
          <w:marRight w:val="0"/>
          <w:marTop w:val="0"/>
          <w:marBottom w:val="0"/>
          <w:divBdr>
            <w:top w:val="none" w:sz="0" w:space="0" w:color="auto"/>
            <w:left w:val="none" w:sz="0" w:space="0" w:color="auto"/>
            <w:bottom w:val="none" w:sz="0" w:space="0" w:color="auto"/>
            <w:right w:val="none" w:sz="0" w:space="0" w:color="auto"/>
          </w:divBdr>
        </w:div>
        <w:div w:id="221216192">
          <w:marLeft w:val="533"/>
          <w:marRight w:val="0"/>
          <w:marTop w:val="0"/>
          <w:marBottom w:val="0"/>
          <w:divBdr>
            <w:top w:val="none" w:sz="0" w:space="0" w:color="auto"/>
            <w:left w:val="none" w:sz="0" w:space="0" w:color="auto"/>
            <w:bottom w:val="none" w:sz="0" w:space="0" w:color="auto"/>
            <w:right w:val="none" w:sz="0" w:space="0" w:color="auto"/>
          </w:divBdr>
        </w:div>
        <w:div w:id="242842067">
          <w:marLeft w:val="533"/>
          <w:marRight w:val="0"/>
          <w:marTop w:val="0"/>
          <w:marBottom w:val="0"/>
          <w:divBdr>
            <w:top w:val="none" w:sz="0" w:space="0" w:color="auto"/>
            <w:left w:val="none" w:sz="0" w:space="0" w:color="auto"/>
            <w:bottom w:val="none" w:sz="0" w:space="0" w:color="auto"/>
            <w:right w:val="none" w:sz="0" w:space="0" w:color="auto"/>
          </w:divBdr>
        </w:div>
      </w:divsChild>
    </w:div>
    <w:div w:id="1237669650">
      <w:bodyDiv w:val="1"/>
      <w:marLeft w:val="0"/>
      <w:marRight w:val="0"/>
      <w:marTop w:val="0"/>
      <w:marBottom w:val="0"/>
      <w:divBdr>
        <w:top w:val="none" w:sz="0" w:space="0" w:color="auto"/>
        <w:left w:val="none" w:sz="0" w:space="0" w:color="auto"/>
        <w:bottom w:val="none" w:sz="0" w:space="0" w:color="auto"/>
        <w:right w:val="none" w:sz="0" w:space="0" w:color="auto"/>
      </w:divBdr>
      <w:divsChild>
        <w:div w:id="1003164628">
          <w:marLeft w:val="274"/>
          <w:marRight w:val="0"/>
          <w:marTop w:val="120"/>
          <w:marBottom w:val="0"/>
          <w:divBdr>
            <w:top w:val="none" w:sz="0" w:space="0" w:color="auto"/>
            <w:left w:val="none" w:sz="0" w:space="0" w:color="auto"/>
            <w:bottom w:val="none" w:sz="0" w:space="0" w:color="auto"/>
            <w:right w:val="none" w:sz="0" w:space="0" w:color="auto"/>
          </w:divBdr>
        </w:div>
      </w:divsChild>
    </w:div>
    <w:div w:id="1264269288">
      <w:bodyDiv w:val="1"/>
      <w:marLeft w:val="0"/>
      <w:marRight w:val="0"/>
      <w:marTop w:val="0"/>
      <w:marBottom w:val="0"/>
      <w:divBdr>
        <w:top w:val="none" w:sz="0" w:space="0" w:color="auto"/>
        <w:left w:val="none" w:sz="0" w:space="0" w:color="auto"/>
        <w:bottom w:val="none" w:sz="0" w:space="0" w:color="auto"/>
        <w:right w:val="none" w:sz="0" w:space="0" w:color="auto"/>
      </w:divBdr>
      <w:divsChild>
        <w:div w:id="724909881">
          <w:marLeft w:val="274"/>
          <w:marRight w:val="0"/>
          <w:marTop w:val="240"/>
          <w:marBottom w:val="0"/>
          <w:divBdr>
            <w:top w:val="none" w:sz="0" w:space="0" w:color="auto"/>
            <w:left w:val="none" w:sz="0" w:space="0" w:color="auto"/>
            <w:bottom w:val="none" w:sz="0" w:space="0" w:color="auto"/>
            <w:right w:val="none" w:sz="0" w:space="0" w:color="auto"/>
          </w:divBdr>
        </w:div>
        <w:div w:id="1761179047">
          <w:marLeft w:val="533"/>
          <w:marRight w:val="0"/>
          <w:marTop w:val="0"/>
          <w:marBottom w:val="0"/>
          <w:divBdr>
            <w:top w:val="none" w:sz="0" w:space="0" w:color="auto"/>
            <w:left w:val="none" w:sz="0" w:space="0" w:color="auto"/>
            <w:bottom w:val="none" w:sz="0" w:space="0" w:color="auto"/>
            <w:right w:val="none" w:sz="0" w:space="0" w:color="auto"/>
          </w:divBdr>
        </w:div>
        <w:div w:id="787165084">
          <w:marLeft w:val="533"/>
          <w:marRight w:val="0"/>
          <w:marTop w:val="0"/>
          <w:marBottom w:val="0"/>
          <w:divBdr>
            <w:top w:val="none" w:sz="0" w:space="0" w:color="auto"/>
            <w:left w:val="none" w:sz="0" w:space="0" w:color="auto"/>
            <w:bottom w:val="none" w:sz="0" w:space="0" w:color="auto"/>
            <w:right w:val="none" w:sz="0" w:space="0" w:color="auto"/>
          </w:divBdr>
        </w:div>
        <w:div w:id="524172029">
          <w:marLeft w:val="533"/>
          <w:marRight w:val="0"/>
          <w:marTop w:val="0"/>
          <w:marBottom w:val="0"/>
          <w:divBdr>
            <w:top w:val="none" w:sz="0" w:space="0" w:color="auto"/>
            <w:left w:val="none" w:sz="0" w:space="0" w:color="auto"/>
            <w:bottom w:val="none" w:sz="0" w:space="0" w:color="auto"/>
            <w:right w:val="none" w:sz="0" w:space="0" w:color="auto"/>
          </w:divBdr>
        </w:div>
        <w:div w:id="2046439873">
          <w:marLeft w:val="533"/>
          <w:marRight w:val="0"/>
          <w:marTop w:val="0"/>
          <w:marBottom w:val="0"/>
          <w:divBdr>
            <w:top w:val="none" w:sz="0" w:space="0" w:color="auto"/>
            <w:left w:val="none" w:sz="0" w:space="0" w:color="auto"/>
            <w:bottom w:val="none" w:sz="0" w:space="0" w:color="auto"/>
            <w:right w:val="none" w:sz="0" w:space="0" w:color="auto"/>
          </w:divBdr>
        </w:div>
      </w:divsChild>
    </w:div>
    <w:div w:id="1374426359">
      <w:bodyDiv w:val="1"/>
      <w:marLeft w:val="0"/>
      <w:marRight w:val="0"/>
      <w:marTop w:val="0"/>
      <w:marBottom w:val="0"/>
      <w:divBdr>
        <w:top w:val="none" w:sz="0" w:space="0" w:color="auto"/>
        <w:left w:val="none" w:sz="0" w:space="0" w:color="auto"/>
        <w:bottom w:val="none" w:sz="0" w:space="0" w:color="auto"/>
        <w:right w:val="none" w:sz="0" w:space="0" w:color="auto"/>
      </w:divBdr>
      <w:divsChild>
        <w:div w:id="717097109">
          <w:marLeft w:val="0"/>
          <w:marRight w:val="0"/>
          <w:marTop w:val="0"/>
          <w:marBottom w:val="0"/>
          <w:divBdr>
            <w:top w:val="none" w:sz="0" w:space="0" w:color="auto"/>
            <w:left w:val="none" w:sz="0" w:space="0" w:color="auto"/>
            <w:bottom w:val="none" w:sz="0" w:space="0" w:color="auto"/>
            <w:right w:val="none" w:sz="0" w:space="0" w:color="auto"/>
          </w:divBdr>
        </w:div>
      </w:divsChild>
    </w:div>
    <w:div w:id="1847209026">
      <w:bodyDiv w:val="1"/>
      <w:marLeft w:val="0"/>
      <w:marRight w:val="0"/>
      <w:marTop w:val="0"/>
      <w:marBottom w:val="0"/>
      <w:divBdr>
        <w:top w:val="none" w:sz="0" w:space="0" w:color="auto"/>
        <w:left w:val="none" w:sz="0" w:space="0" w:color="auto"/>
        <w:bottom w:val="none" w:sz="0" w:space="0" w:color="auto"/>
        <w:right w:val="none" w:sz="0" w:space="0" w:color="auto"/>
      </w:divBdr>
      <w:divsChild>
        <w:div w:id="1712531288">
          <w:marLeft w:val="274"/>
          <w:marRight w:val="0"/>
          <w:marTop w:val="240"/>
          <w:marBottom w:val="0"/>
          <w:divBdr>
            <w:top w:val="none" w:sz="0" w:space="0" w:color="auto"/>
            <w:left w:val="none" w:sz="0" w:space="0" w:color="auto"/>
            <w:bottom w:val="none" w:sz="0" w:space="0" w:color="auto"/>
            <w:right w:val="none" w:sz="0" w:space="0" w:color="auto"/>
          </w:divBdr>
        </w:div>
        <w:div w:id="501747481">
          <w:marLeft w:val="533"/>
          <w:marRight w:val="0"/>
          <w:marTop w:val="0"/>
          <w:marBottom w:val="0"/>
          <w:divBdr>
            <w:top w:val="none" w:sz="0" w:space="0" w:color="auto"/>
            <w:left w:val="none" w:sz="0" w:space="0" w:color="auto"/>
            <w:bottom w:val="none" w:sz="0" w:space="0" w:color="auto"/>
            <w:right w:val="none" w:sz="0" w:space="0" w:color="auto"/>
          </w:divBdr>
        </w:div>
        <w:div w:id="2041123834">
          <w:marLeft w:val="533"/>
          <w:marRight w:val="0"/>
          <w:marTop w:val="0"/>
          <w:marBottom w:val="0"/>
          <w:divBdr>
            <w:top w:val="none" w:sz="0" w:space="0" w:color="auto"/>
            <w:left w:val="none" w:sz="0" w:space="0" w:color="auto"/>
            <w:bottom w:val="none" w:sz="0" w:space="0" w:color="auto"/>
            <w:right w:val="none" w:sz="0" w:space="0" w:color="auto"/>
          </w:divBdr>
        </w:div>
        <w:div w:id="1959947282">
          <w:marLeft w:val="274"/>
          <w:marRight w:val="0"/>
          <w:marTop w:val="240"/>
          <w:marBottom w:val="0"/>
          <w:divBdr>
            <w:top w:val="none" w:sz="0" w:space="0" w:color="auto"/>
            <w:left w:val="none" w:sz="0" w:space="0" w:color="auto"/>
            <w:bottom w:val="none" w:sz="0" w:space="0" w:color="auto"/>
            <w:right w:val="none" w:sz="0" w:space="0" w:color="auto"/>
          </w:divBdr>
        </w:div>
        <w:div w:id="1991908664">
          <w:marLeft w:val="533"/>
          <w:marRight w:val="0"/>
          <w:marTop w:val="0"/>
          <w:marBottom w:val="0"/>
          <w:divBdr>
            <w:top w:val="none" w:sz="0" w:space="0" w:color="auto"/>
            <w:left w:val="none" w:sz="0" w:space="0" w:color="auto"/>
            <w:bottom w:val="none" w:sz="0" w:space="0" w:color="auto"/>
            <w:right w:val="none" w:sz="0" w:space="0" w:color="auto"/>
          </w:divBdr>
        </w:div>
        <w:div w:id="136654762">
          <w:marLeft w:val="533"/>
          <w:marRight w:val="0"/>
          <w:marTop w:val="0"/>
          <w:marBottom w:val="0"/>
          <w:divBdr>
            <w:top w:val="none" w:sz="0" w:space="0" w:color="auto"/>
            <w:left w:val="none" w:sz="0" w:space="0" w:color="auto"/>
            <w:bottom w:val="none" w:sz="0" w:space="0" w:color="auto"/>
            <w:right w:val="none" w:sz="0" w:space="0" w:color="auto"/>
          </w:divBdr>
        </w:div>
        <w:div w:id="1522403198">
          <w:marLeft w:val="533"/>
          <w:marRight w:val="0"/>
          <w:marTop w:val="0"/>
          <w:marBottom w:val="0"/>
          <w:divBdr>
            <w:top w:val="none" w:sz="0" w:space="0" w:color="auto"/>
            <w:left w:val="none" w:sz="0" w:space="0" w:color="auto"/>
            <w:bottom w:val="none" w:sz="0" w:space="0" w:color="auto"/>
            <w:right w:val="none" w:sz="0" w:space="0" w:color="auto"/>
          </w:divBdr>
        </w:div>
      </w:divsChild>
    </w:div>
    <w:div w:id="1857890469">
      <w:bodyDiv w:val="1"/>
      <w:marLeft w:val="0"/>
      <w:marRight w:val="0"/>
      <w:marTop w:val="0"/>
      <w:marBottom w:val="0"/>
      <w:divBdr>
        <w:top w:val="none" w:sz="0" w:space="0" w:color="auto"/>
        <w:left w:val="none" w:sz="0" w:space="0" w:color="auto"/>
        <w:bottom w:val="none" w:sz="0" w:space="0" w:color="auto"/>
        <w:right w:val="none" w:sz="0" w:space="0" w:color="auto"/>
      </w:divBdr>
      <w:divsChild>
        <w:div w:id="1493790921">
          <w:marLeft w:val="0"/>
          <w:marRight w:val="0"/>
          <w:marTop w:val="0"/>
          <w:marBottom w:val="0"/>
          <w:divBdr>
            <w:top w:val="none" w:sz="0" w:space="0" w:color="auto"/>
            <w:left w:val="none" w:sz="0" w:space="0" w:color="auto"/>
            <w:bottom w:val="none" w:sz="0" w:space="0" w:color="auto"/>
            <w:right w:val="none" w:sz="0" w:space="0" w:color="auto"/>
          </w:divBdr>
        </w:div>
      </w:divsChild>
    </w:div>
    <w:div w:id="1921939037">
      <w:bodyDiv w:val="1"/>
      <w:marLeft w:val="0"/>
      <w:marRight w:val="0"/>
      <w:marTop w:val="0"/>
      <w:marBottom w:val="0"/>
      <w:divBdr>
        <w:top w:val="none" w:sz="0" w:space="0" w:color="auto"/>
        <w:left w:val="none" w:sz="0" w:space="0" w:color="auto"/>
        <w:bottom w:val="none" w:sz="0" w:space="0" w:color="auto"/>
        <w:right w:val="none" w:sz="0" w:space="0" w:color="auto"/>
      </w:divBdr>
      <w:divsChild>
        <w:div w:id="446125877">
          <w:marLeft w:val="274"/>
          <w:marRight w:val="0"/>
          <w:marTop w:val="240"/>
          <w:marBottom w:val="0"/>
          <w:divBdr>
            <w:top w:val="none" w:sz="0" w:space="0" w:color="auto"/>
            <w:left w:val="none" w:sz="0" w:space="0" w:color="auto"/>
            <w:bottom w:val="none" w:sz="0" w:space="0" w:color="auto"/>
            <w:right w:val="none" w:sz="0" w:space="0" w:color="auto"/>
          </w:divBdr>
        </w:div>
        <w:div w:id="1211453904">
          <w:marLeft w:val="533"/>
          <w:marRight w:val="0"/>
          <w:marTop w:val="0"/>
          <w:marBottom w:val="0"/>
          <w:divBdr>
            <w:top w:val="none" w:sz="0" w:space="0" w:color="auto"/>
            <w:left w:val="none" w:sz="0" w:space="0" w:color="auto"/>
            <w:bottom w:val="none" w:sz="0" w:space="0" w:color="auto"/>
            <w:right w:val="none" w:sz="0" w:space="0" w:color="auto"/>
          </w:divBdr>
        </w:div>
        <w:div w:id="1042249044">
          <w:marLeft w:val="533"/>
          <w:marRight w:val="0"/>
          <w:marTop w:val="0"/>
          <w:marBottom w:val="0"/>
          <w:divBdr>
            <w:top w:val="none" w:sz="0" w:space="0" w:color="auto"/>
            <w:left w:val="none" w:sz="0" w:space="0" w:color="auto"/>
            <w:bottom w:val="none" w:sz="0" w:space="0" w:color="auto"/>
            <w:right w:val="none" w:sz="0" w:space="0" w:color="auto"/>
          </w:divBdr>
        </w:div>
        <w:div w:id="1970429952">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1B8DF-BD40-4436-8102-3F67AB8B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12442</TotalTime>
  <Pages>9</Pages>
  <Words>4163</Words>
  <Characters>23730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692</cp:revision>
  <cp:lastPrinted>1900-01-01T05:00:00Z</cp:lastPrinted>
  <dcterms:created xsi:type="dcterms:W3CDTF">2019-08-14T14:40:00Z</dcterms:created>
  <dcterms:modified xsi:type="dcterms:W3CDTF">2021-04-06T18:16:00Z</dcterms:modified>
</cp:coreProperties>
</file>